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F1AC9" w14:textId="77777777" w:rsidR="00543F7F" w:rsidRDefault="00432D42" w:rsidP="00432D42">
      <w:pPr>
        <w:rPr>
          <w:b/>
          <w:sz w:val="28"/>
          <w:szCs w:val="28"/>
        </w:rPr>
      </w:pPr>
      <w:r w:rsidRPr="00777D1F">
        <w:rPr>
          <w:b/>
          <w:sz w:val="28"/>
          <w:szCs w:val="28"/>
        </w:rPr>
        <w:t>The Glycaemic Index (GI) Glycaemic Load (GL)</w:t>
      </w:r>
      <w:r w:rsidR="00834E15">
        <w:rPr>
          <w:b/>
          <w:sz w:val="28"/>
          <w:szCs w:val="28"/>
        </w:rPr>
        <w:t xml:space="preserve"> </w:t>
      </w:r>
      <w:r w:rsidR="006A30F8">
        <w:rPr>
          <w:b/>
          <w:sz w:val="28"/>
          <w:szCs w:val="28"/>
        </w:rPr>
        <w:t xml:space="preserve">and Unwin sugar infographics </w:t>
      </w:r>
      <w:r w:rsidR="00834E15">
        <w:rPr>
          <w:b/>
          <w:sz w:val="28"/>
          <w:szCs w:val="28"/>
        </w:rPr>
        <w:t>explained</w:t>
      </w:r>
      <w:r w:rsidR="006A30F8">
        <w:rPr>
          <w:b/>
          <w:sz w:val="28"/>
          <w:szCs w:val="28"/>
        </w:rPr>
        <w:t>.</w:t>
      </w:r>
    </w:p>
    <w:p w14:paraId="18A8A323" w14:textId="4368CE32" w:rsidR="00432D42" w:rsidRPr="00543F7F" w:rsidRDefault="00543F7F" w:rsidP="00432D42">
      <w:pPr>
        <w:rPr>
          <w:bCs/>
          <w:sz w:val="28"/>
          <w:szCs w:val="28"/>
        </w:rPr>
      </w:pPr>
      <w:r w:rsidRPr="00543F7F">
        <w:rPr>
          <w:bCs/>
          <w:sz w:val="28"/>
          <w:szCs w:val="28"/>
        </w:rPr>
        <w:t>Dr DJ Unwin FRCGP</w:t>
      </w:r>
      <w:r w:rsidR="00432D42" w:rsidRPr="00543F7F">
        <w:rPr>
          <w:bCs/>
          <w:sz w:val="28"/>
          <w:szCs w:val="28"/>
        </w:rPr>
        <w:t xml:space="preserve"> </w:t>
      </w:r>
    </w:p>
    <w:p w14:paraId="17B966A5" w14:textId="12444F66" w:rsidR="000A7191" w:rsidRPr="00834E15" w:rsidRDefault="001D6130" w:rsidP="00432D42">
      <w:pPr>
        <w:rPr>
          <w:sz w:val="28"/>
          <w:szCs w:val="28"/>
        </w:rPr>
      </w:pPr>
      <w:bookmarkStart w:id="0" w:name="_Hlk69896740"/>
      <w:r>
        <w:rPr>
          <w:sz w:val="28"/>
          <w:szCs w:val="28"/>
        </w:rPr>
        <w:t>Dietary carbohydrates are the main drivers of blood sugar and so are problematic for people with T2 Diabetes. But</w:t>
      </w:r>
      <w:r w:rsidR="000B26AA">
        <w:rPr>
          <w:sz w:val="28"/>
          <w:szCs w:val="28"/>
        </w:rPr>
        <w:t xml:space="preserve"> various dietary </w:t>
      </w:r>
      <w:r>
        <w:rPr>
          <w:sz w:val="28"/>
          <w:szCs w:val="28"/>
        </w:rPr>
        <w:t>carbs affect blood glucose</w:t>
      </w:r>
      <w:r w:rsidR="000B26AA">
        <w:rPr>
          <w:sz w:val="28"/>
          <w:szCs w:val="28"/>
        </w:rPr>
        <w:t xml:space="preserve"> differently.</w:t>
      </w:r>
      <w:r>
        <w:rPr>
          <w:sz w:val="28"/>
          <w:szCs w:val="28"/>
        </w:rPr>
        <w:t xml:space="preserve"> </w:t>
      </w:r>
      <w:r w:rsidR="000A7191" w:rsidRPr="00834E15">
        <w:rPr>
          <w:sz w:val="28"/>
          <w:szCs w:val="28"/>
        </w:rPr>
        <w:t xml:space="preserve">An understanding of </w:t>
      </w:r>
      <w:r w:rsidR="00BC1E55" w:rsidRPr="00834E15">
        <w:rPr>
          <w:sz w:val="28"/>
          <w:szCs w:val="28"/>
        </w:rPr>
        <w:t>both</w:t>
      </w:r>
      <w:r>
        <w:rPr>
          <w:sz w:val="28"/>
          <w:szCs w:val="28"/>
        </w:rPr>
        <w:t xml:space="preserve"> the </w:t>
      </w:r>
      <w:r w:rsidRPr="00F76621">
        <w:rPr>
          <w:b/>
          <w:bCs/>
          <w:sz w:val="28"/>
          <w:szCs w:val="28"/>
        </w:rPr>
        <w:t>glycaemic index</w:t>
      </w:r>
      <w:r w:rsidR="00BC1E55" w:rsidRPr="00F76621">
        <w:rPr>
          <w:b/>
          <w:bCs/>
          <w:sz w:val="28"/>
          <w:szCs w:val="28"/>
        </w:rPr>
        <w:t xml:space="preserve"> </w:t>
      </w:r>
      <w:r w:rsidRPr="00F76621">
        <w:rPr>
          <w:b/>
          <w:bCs/>
          <w:sz w:val="28"/>
          <w:szCs w:val="28"/>
        </w:rPr>
        <w:t>(</w:t>
      </w:r>
      <w:r w:rsidR="00BC1E55" w:rsidRPr="00F76621">
        <w:rPr>
          <w:b/>
          <w:bCs/>
          <w:sz w:val="28"/>
          <w:szCs w:val="28"/>
        </w:rPr>
        <w:t>GI</w:t>
      </w:r>
      <w:r w:rsidRPr="00F76621">
        <w:rPr>
          <w:b/>
          <w:bCs/>
          <w:sz w:val="28"/>
          <w:szCs w:val="28"/>
        </w:rPr>
        <w:t>)</w:t>
      </w:r>
      <w:r>
        <w:rPr>
          <w:sz w:val="28"/>
          <w:szCs w:val="28"/>
        </w:rPr>
        <w:t xml:space="preserve"> of the different carbohydrates in our </w:t>
      </w:r>
      <w:r w:rsidR="000B26AA">
        <w:rPr>
          <w:sz w:val="28"/>
          <w:szCs w:val="28"/>
        </w:rPr>
        <w:t xml:space="preserve">foods </w:t>
      </w:r>
      <w:r w:rsidR="000B26AA" w:rsidRPr="00834E15">
        <w:rPr>
          <w:sz w:val="28"/>
          <w:szCs w:val="28"/>
        </w:rPr>
        <w:t>and</w:t>
      </w:r>
      <w:r>
        <w:rPr>
          <w:sz w:val="28"/>
          <w:szCs w:val="28"/>
        </w:rPr>
        <w:t xml:space="preserve"> the </w:t>
      </w:r>
      <w:r w:rsidRPr="00F76621">
        <w:rPr>
          <w:b/>
          <w:bCs/>
          <w:sz w:val="28"/>
          <w:szCs w:val="28"/>
        </w:rPr>
        <w:t>glycaemic load</w:t>
      </w:r>
      <w:r w:rsidR="00BC1E55" w:rsidRPr="00F76621">
        <w:rPr>
          <w:b/>
          <w:bCs/>
          <w:sz w:val="28"/>
          <w:szCs w:val="28"/>
        </w:rPr>
        <w:t xml:space="preserve"> </w:t>
      </w:r>
      <w:r w:rsidRPr="00F76621">
        <w:rPr>
          <w:b/>
          <w:bCs/>
          <w:sz w:val="28"/>
          <w:szCs w:val="28"/>
        </w:rPr>
        <w:t>(</w:t>
      </w:r>
      <w:r w:rsidR="00BC1E55" w:rsidRPr="00F76621">
        <w:rPr>
          <w:b/>
          <w:bCs/>
          <w:sz w:val="28"/>
          <w:szCs w:val="28"/>
        </w:rPr>
        <w:t>GL</w:t>
      </w:r>
      <w:r w:rsidRPr="00F76621">
        <w:rPr>
          <w:b/>
          <w:bCs/>
          <w:sz w:val="28"/>
          <w:szCs w:val="28"/>
        </w:rPr>
        <w:t>)</w:t>
      </w:r>
      <w:r>
        <w:rPr>
          <w:sz w:val="28"/>
          <w:szCs w:val="28"/>
        </w:rPr>
        <w:t xml:space="preserve"> that specific portions of those foods </w:t>
      </w:r>
      <w:r w:rsidR="000B26AA">
        <w:rPr>
          <w:sz w:val="28"/>
          <w:szCs w:val="28"/>
        </w:rPr>
        <w:t xml:space="preserve">generate </w:t>
      </w:r>
      <w:r w:rsidR="000B26AA" w:rsidRPr="00834E15">
        <w:rPr>
          <w:sz w:val="28"/>
          <w:szCs w:val="28"/>
        </w:rPr>
        <w:t>is</w:t>
      </w:r>
      <w:r w:rsidR="000A7191" w:rsidRPr="00834E15">
        <w:rPr>
          <w:sz w:val="28"/>
          <w:szCs w:val="28"/>
        </w:rPr>
        <w:t xml:space="preserve"> </w:t>
      </w:r>
      <w:r>
        <w:rPr>
          <w:sz w:val="28"/>
          <w:szCs w:val="28"/>
        </w:rPr>
        <w:t>key</w:t>
      </w:r>
      <w:r w:rsidR="000A7191" w:rsidRPr="00834E15">
        <w:rPr>
          <w:sz w:val="28"/>
          <w:szCs w:val="28"/>
        </w:rPr>
        <w:t xml:space="preserve"> for </w:t>
      </w:r>
      <w:r w:rsidR="00BC1E55" w:rsidRPr="00834E15">
        <w:rPr>
          <w:sz w:val="28"/>
          <w:szCs w:val="28"/>
        </w:rPr>
        <w:t>making</w:t>
      </w:r>
      <w:r w:rsidR="000A7191" w:rsidRPr="00834E15">
        <w:rPr>
          <w:sz w:val="28"/>
          <w:szCs w:val="28"/>
        </w:rPr>
        <w:t xml:space="preserve"> </w:t>
      </w:r>
      <w:r>
        <w:rPr>
          <w:sz w:val="28"/>
          <w:szCs w:val="28"/>
        </w:rPr>
        <w:t xml:space="preserve">better </w:t>
      </w:r>
      <w:r w:rsidR="000A7191" w:rsidRPr="00834E15">
        <w:rPr>
          <w:sz w:val="28"/>
          <w:szCs w:val="28"/>
        </w:rPr>
        <w:t>dietary choices</w:t>
      </w:r>
      <w:r w:rsidR="006A30F8">
        <w:rPr>
          <w:sz w:val="28"/>
          <w:szCs w:val="28"/>
        </w:rPr>
        <w:t xml:space="preserve"> to improve blood glucose control</w:t>
      </w:r>
      <w:r w:rsidR="000A7191" w:rsidRPr="00834E15">
        <w:rPr>
          <w:sz w:val="28"/>
          <w:szCs w:val="28"/>
        </w:rPr>
        <w:t xml:space="preserve"> </w:t>
      </w:r>
    </w:p>
    <w:bookmarkEnd w:id="0"/>
    <w:p w14:paraId="68929C2C" w14:textId="77777777" w:rsidR="006A30F8" w:rsidRDefault="00432D42" w:rsidP="00432D42">
      <w:pPr>
        <w:rPr>
          <w:sz w:val="28"/>
          <w:szCs w:val="28"/>
        </w:rPr>
      </w:pPr>
      <w:r w:rsidRPr="00834E15">
        <w:rPr>
          <w:sz w:val="28"/>
          <w:szCs w:val="28"/>
        </w:rPr>
        <w:t>It is confusing that the various</w:t>
      </w:r>
      <w:r w:rsidR="00581C5B">
        <w:rPr>
          <w:sz w:val="28"/>
          <w:szCs w:val="28"/>
        </w:rPr>
        <w:t xml:space="preserve"> specific</w:t>
      </w:r>
      <w:r w:rsidRPr="00834E15">
        <w:rPr>
          <w:sz w:val="28"/>
          <w:szCs w:val="28"/>
        </w:rPr>
        <w:t xml:space="preserve"> carbohydrates to be found in foods vary considerably in</w:t>
      </w:r>
      <w:r w:rsidRPr="00834E15">
        <w:rPr>
          <w:b/>
          <w:sz w:val="28"/>
          <w:szCs w:val="28"/>
        </w:rPr>
        <w:t xml:space="preserve"> </w:t>
      </w:r>
      <w:r w:rsidRPr="00834E15">
        <w:rPr>
          <w:sz w:val="28"/>
          <w:szCs w:val="28"/>
        </w:rPr>
        <w:t>their ability to raise our blood glucose.</w:t>
      </w:r>
      <w:r w:rsidR="00204D46">
        <w:rPr>
          <w:sz w:val="28"/>
          <w:szCs w:val="28"/>
        </w:rPr>
        <w:t xml:space="preserve"> To help us predict the glycaemic consequences of our dietary choices </w:t>
      </w:r>
      <w:r w:rsidR="00204D46" w:rsidRPr="006A30F8">
        <w:rPr>
          <w:b/>
          <w:bCs/>
          <w:sz w:val="28"/>
          <w:szCs w:val="28"/>
        </w:rPr>
        <w:t>the glycaemic index</w:t>
      </w:r>
      <w:r w:rsidR="00204D46">
        <w:rPr>
          <w:sz w:val="28"/>
          <w:szCs w:val="28"/>
        </w:rPr>
        <w:t xml:space="preserve"> ranks carbohydrates against pure glucose which counts at ‘100’ on the index.</w:t>
      </w:r>
      <w:r w:rsidRPr="00834E15">
        <w:rPr>
          <w:sz w:val="28"/>
          <w:szCs w:val="28"/>
        </w:rPr>
        <w:t xml:space="preserve"> The carbohydrate in watermelon for example is</w:t>
      </w:r>
      <w:r w:rsidR="006A30F8">
        <w:rPr>
          <w:sz w:val="28"/>
          <w:szCs w:val="28"/>
        </w:rPr>
        <w:t xml:space="preserve"> </w:t>
      </w:r>
      <w:proofErr w:type="gramStart"/>
      <w:r w:rsidR="006A30F8">
        <w:rPr>
          <w:sz w:val="28"/>
          <w:szCs w:val="28"/>
        </w:rPr>
        <w:t>more</w:t>
      </w:r>
      <w:r w:rsidRPr="00834E15">
        <w:rPr>
          <w:sz w:val="28"/>
          <w:szCs w:val="28"/>
        </w:rPr>
        <w:t xml:space="preserve"> </w:t>
      </w:r>
      <w:r w:rsidR="00204D46" w:rsidRPr="00834E15">
        <w:rPr>
          <w:sz w:val="28"/>
          <w:szCs w:val="28"/>
        </w:rPr>
        <w:t>‘sugar</w:t>
      </w:r>
      <w:r w:rsidR="00204D46">
        <w:rPr>
          <w:sz w:val="28"/>
          <w:szCs w:val="28"/>
        </w:rPr>
        <w:t>y</w:t>
      </w:r>
      <w:r w:rsidR="00204D46" w:rsidRPr="00834E15">
        <w:rPr>
          <w:sz w:val="28"/>
          <w:szCs w:val="28"/>
        </w:rPr>
        <w:t>’</w:t>
      </w:r>
      <w:proofErr w:type="gramEnd"/>
      <w:r w:rsidRPr="00834E15">
        <w:rPr>
          <w:sz w:val="28"/>
          <w:szCs w:val="28"/>
        </w:rPr>
        <w:t xml:space="preserve"> gram for gram than an equivalent weight of the carbohydrate to be found in a banana</w:t>
      </w:r>
      <w:r w:rsidR="00204D46">
        <w:rPr>
          <w:sz w:val="28"/>
          <w:szCs w:val="28"/>
        </w:rPr>
        <w:t>.</w:t>
      </w:r>
    </w:p>
    <w:p w14:paraId="3EA377AC" w14:textId="0ACFFFBD" w:rsidR="00871229" w:rsidRDefault="00432D42" w:rsidP="00432D42">
      <w:pPr>
        <w:rPr>
          <w:sz w:val="28"/>
          <w:szCs w:val="28"/>
        </w:rPr>
      </w:pPr>
      <w:r w:rsidRPr="00834E15">
        <w:rPr>
          <w:sz w:val="28"/>
          <w:szCs w:val="28"/>
        </w:rPr>
        <w:t xml:space="preserve"> </w:t>
      </w:r>
      <w:r w:rsidR="00204D46">
        <w:rPr>
          <w:sz w:val="28"/>
          <w:szCs w:val="28"/>
        </w:rPr>
        <w:t>B</w:t>
      </w:r>
      <w:r w:rsidRPr="00834E15">
        <w:rPr>
          <w:sz w:val="28"/>
          <w:szCs w:val="28"/>
        </w:rPr>
        <w:t xml:space="preserve">ut the confusion does not end there. It’s also </w:t>
      </w:r>
      <w:r w:rsidR="000A7191" w:rsidRPr="00834E15">
        <w:rPr>
          <w:sz w:val="28"/>
          <w:szCs w:val="28"/>
        </w:rPr>
        <w:t>important to</w:t>
      </w:r>
      <w:r w:rsidRPr="00834E15">
        <w:rPr>
          <w:sz w:val="28"/>
          <w:szCs w:val="28"/>
        </w:rPr>
        <w:t xml:space="preserve"> factor in the density of carbohydrate in each food. In this case the banana has a far greater density of banana carbohydrate than the watermelon has of watermelon carbohydrate, as the latter is mainly water. So that</w:t>
      </w:r>
      <w:r w:rsidR="00204D46" w:rsidRPr="00204D46">
        <w:rPr>
          <w:sz w:val="28"/>
          <w:szCs w:val="28"/>
        </w:rPr>
        <w:t xml:space="preserve"> </w:t>
      </w:r>
      <w:r w:rsidR="00204D46" w:rsidRPr="00834E15">
        <w:rPr>
          <w:sz w:val="28"/>
          <w:szCs w:val="28"/>
        </w:rPr>
        <w:t xml:space="preserve">if the same portion size of each fruit is </w:t>
      </w:r>
      <w:r w:rsidR="00204D46" w:rsidRPr="00834E15">
        <w:rPr>
          <w:sz w:val="28"/>
          <w:szCs w:val="28"/>
        </w:rPr>
        <w:t>consumed</w:t>
      </w:r>
      <w:r w:rsidR="00204D46">
        <w:rPr>
          <w:sz w:val="28"/>
          <w:szCs w:val="28"/>
        </w:rPr>
        <w:t xml:space="preserve"> </w:t>
      </w:r>
      <w:r w:rsidR="00204D46" w:rsidRPr="00834E15">
        <w:rPr>
          <w:sz w:val="28"/>
          <w:szCs w:val="28"/>
        </w:rPr>
        <w:t>the banana has treble the effect on blood glucose than watermelon</w:t>
      </w:r>
      <w:r w:rsidR="00204D46">
        <w:rPr>
          <w:sz w:val="28"/>
          <w:szCs w:val="28"/>
        </w:rPr>
        <w:t xml:space="preserve">, </w:t>
      </w:r>
      <w:r w:rsidR="00204D46" w:rsidRPr="00834E15">
        <w:rPr>
          <w:sz w:val="28"/>
          <w:szCs w:val="28"/>
        </w:rPr>
        <w:t>despite</w:t>
      </w:r>
      <w:r w:rsidRPr="00834E15">
        <w:rPr>
          <w:sz w:val="28"/>
          <w:szCs w:val="28"/>
        </w:rPr>
        <w:t xml:space="preserve"> </w:t>
      </w:r>
      <w:r w:rsidR="00204D46">
        <w:rPr>
          <w:sz w:val="28"/>
          <w:szCs w:val="28"/>
        </w:rPr>
        <w:t>banana having a</w:t>
      </w:r>
      <w:r w:rsidRPr="00834E15">
        <w:rPr>
          <w:sz w:val="28"/>
          <w:szCs w:val="28"/>
        </w:rPr>
        <w:t xml:space="preserve"> lower glycaemic </w:t>
      </w:r>
      <w:r w:rsidR="00F76621" w:rsidRPr="00834E15">
        <w:rPr>
          <w:sz w:val="28"/>
          <w:szCs w:val="28"/>
        </w:rPr>
        <w:t>index</w:t>
      </w:r>
      <w:r w:rsidR="00F76621">
        <w:rPr>
          <w:sz w:val="28"/>
          <w:szCs w:val="28"/>
        </w:rPr>
        <w:t>.</w:t>
      </w:r>
    </w:p>
    <w:p w14:paraId="2032D003" w14:textId="4BFE7CCE" w:rsidR="0003708F" w:rsidRDefault="00871229" w:rsidP="0003708F">
      <w:pPr>
        <w:rPr>
          <w:sz w:val="28"/>
          <w:szCs w:val="28"/>
        </w:rPr>
      </w:pPr>
      <w:r>
        <w:rPr>
          <w:sz w:val="28"/>
          <w:szCs w:val="28"/>
        </w:rPr>
        <w:t>To sort this out we have to go to the next step</w:t>
      </w:r>
      <w:r w:rsidR="00B263C0">
        <w:rPr>
          <w:sz w:val="28"/>
          <w:szCs w:val="28"/>
        </w:rPr>
        <w:t>-</w:t>
      </w:r>
      <w:r>
        <w:rPr>
          <w:sz w:val="28"/>
          <w:szCs w:val="28"/>
        </w:rPr>
        <w:t xml:space="preserve"> </w:t>
      </w:r>
      <w:r w:rsidRPr="00871229">
        <w:rPr>
          <w:b/>
          <w:sz w:val="28"/>
          <w:szCs w:val="28"/>
        </w:rPr>
        <w:t>the glycaemic load</w:t>
      </w:r>
      <w:r w:rsidR="00B263C0">
        <w:rPr>
          <w:b/>
          <w:sz w:val="28"/>
          <w:szCs w:val="28"/>
        </w:rPr>
        <w:t>;</w:t>
      </w:r>
      <w:r>
        <w:rPr>
          <w:sz w:val="28"/>
          <w:szCs w:val="28"/>
        </w:rPr>
        <w:t xml:space="preserve"> itself derived from the glycaemic index</w:t>
      </w:r>
      <w:r w:rsidR="0003708F">
        <w:rPr>
          <w:sz w:val="28"/>
          <w:szCs w:val="28"/>
        </w:rPr>
        <w:t>.</w:t>
      </w:r>
      <w:r>
        <w:rPr>
          <w:sz w:val="28"/>
          <w:szCs w:val="28"/>
        </w:rPr>
        <w:t xml:space="preserve"> </w:t>
      </w:r>
      <w:r w:rsidR="0003708F" w:rsidRPr="0003708F">
        <w:rPr>
          <w:sz w:val="28"/>
          <w:szCs w:val="28"/>
        </w:rPr>
        <w:t>The glycaemic load</w:t>
      </w:r>
      <w:r w:rsidR="00204D46">
        <w:rPr>
          <w:sz w:val="28"/>
          <w:szCs w:val="28"/>
        </w:rPr>
        <w:t xml:space="preserve"> reflects </w:t>
      </w:r>
      <w:r w:rsidR="0003708F" w:rsidRPr="0003708F">
        <w:rPr>
          <w:sz w:val="28"/>
          <w:szCs w:val="28"/>
        </w:rPr>
        <w:t xml:space="preserve">the equivalent gram weight of glucose for </w:t>
      </w:r>
      <w:r w:rsidR="00F76621">
        <w:rPr>
          <w:sz w:val="28"/>
          <w:szCs w:val="28"/>
        </w:rPr>
        <w:t>a</w:t>
      </w:r>
      <w:r w:rsidR="0003708F" w:rsidRPr="0003708F">
        <w:rPr>
          <w:sz w:val="28"/>
          <w:szCs w:val="28"/>
        </w:rPr>
        <w:t xml:space="preserve"> given </w:t>
      </w:r>
      <w:r w:rsidR="00F76621">
        <w:rPr>
          <w:sz w:val="28"/>
          <w:szCs w:val="28"/>
        </w:rPr>
        <w:t>portion</w:t>
      </w:r>
      <w:r w:rsidR="0003708F" w:rsidRPr="0003708F">
        <w:rPr>
          <w:sz w:val="28"/>
          <w:szCs w:val="28"/>
        </w:rPr>
        <w:t xml:space="preserve"> of </w:t>
      </w:r>
      <w:r w:rsidR="00F76621">
        <w:rPr>
          <w:sz w:val="28"/>
          <w:szCs w:val="28"/>
        </w:rPr>
        <w:t>food</w:t>
      </w:r>
      <w:r w:rsidR="0003708F" w:rsidRPr="0003708F">
        <w:rPr>
          <w:sz w:val="28"/>
          <w:szCs w:val="28"/>
        </w:rPr>
        <w:t xml:space="preserve"> and is a better measure than the glycaemic index for people interested in how any particular food may affect their blood glucose. In this case a ripe banana is equivalent to 16g or four teaspoons of pure glucose whereas the watermelon </w:t>
      </w:r>
      <w:r w:rsidR="0003708F" w:rsidRPr="00F76621">
        <w:rPr>
          <w:bCs/>
          <w:sz w:val="28"/>
          <w:szCs w:val="28"/>
        </w:rPr>
        <w:t>despite its greater GI</w:t>
      </w:r>
      <w:r w:rsidR="0003708F" w:rsidRPr="0003708F">
        <w:rPr>
          <w:b/>
          <w:sz w:val="28"/>
          <w:szCs w:val="28"/>
        </w:rPr>
        <w:t xml:space="preserve"> </w:t>
      </w:r>
      <w:r w:rsidR="0003708F" w:rsidRPr="0003708F">
        <w:rPr>
          <w:sz w:val="28"/>
          <w:szCs w:val="28"/>
        </w:rPr>
        <w:t xml:space="preserve">is only equivalent to 5g of pure glucose, just over a teaspoon. </w:t>
      </w:r>
    </w:p>
    <w:p w14:paraId="769A7DF8" w14:textId="55B0E329" w:rsidR="00871229" w:rsidRPr="006A30F8" w:rsidRDefault="00871229" w:rsidP="006A30F8">
      <w:pPr>
        <w:jc w:val="center"/>
        <w:rPr>
          <w:color w:val="0070C0"/>
          <w:sz w:val="28"/>
          <w:szCs w:val="28"/>
        </w:rPr>
      </w:pPr>
      <w:r w:rsidRPr="006A30F8">
        <w:rPr>
          <w:b/>
          <w:color w:val="0070C0"/>
          <w:sz w:val="28"/>
          <w:szCs w:val="28"/>
        </w:rPr>
        <w:t>Using the glycaemic index, and its derived glycaemic load to compare two 120g portions of banana and watermelon.</w:t>
      </w:r>
    </w:p>
    <w:tbl>
      <w:tblPr>
        <w:tblStyle w:val="TableGrid"/>
        <w:tblW w:w="0" w:type="auto"/>
        <w:tblLook w:val="04A0" w:firstRow="1" w:lastRow="0" w:firstColumn="1" w:lastColumn="0" w:noHBand="0" w:noVBand="1"/>
      </w:tblPr>
      <w:tblGrid>
        <w:gridCol w:w="1955"/>
        <w:gridCol w:w="2941"/>
        <w:gridCol w:w="2287"/>
        <w:gridCol w:w="2778"/>
      </w:tblGrid>
      <w:tr w:rsidR="00871229" w14:paraId="4D46295B" w14:textId="77777777" w:rsidTr="00871229">
        <w:trPr>
          <w:trHeight w:val="781"/>
        </w:trPr>
        <w:tc>
          <w:tcPr>
            <w:tcW w:w="1955" w:type="dxa"/>
          </w:tcPr>
          <w:p w14:paraId="1FDF8C08" w14:textId="77777777" w:rsidR="00871229" w:rsidRDefault="00871229" w:rsidP="00877DDA">
            <w:pPr>
              <w:rPr>
                <w:b/>
                <w:sz w:val="28"/>
                <w:szCs w:val="28"/>
              </w:rPr>
            </w:pPr>
            <w:r>
              <w:rPr>
                <w:b/>
                <w:sz w:val="28"/>
                <w:szCs w:val="28"/>
              </w:rPr>
              <w:t xml:space="preserve">Fruit </w:t>
            </w:r>
          </w:p>
        </w:tc>
        <w:tc>
          <w:tcPr>
            <w:tcW w:w="2941" w:type="dxa"/>
          </w:tcPr>
          <w:p w14:paraId="5E0BC8F9" w14:textId="77777777" w:rsidR="00871229" w:rsidRDefault="00871229" w:rsidP="00877DDA">
            <w:pPr>
              <w:rPr>
                <w:b/>
                <w:sz w:val="28"/>
                <w:szCs w:val="28"/>
              </w:rPr>
            </w:pPr>
            <w:r>
              <w:rPr>
                <w:b/>
                <w:sz w:val="28"/>
                <w:szCs w:val="28"/>
              </w:rPr>
              <w:t>Glycaemic index GI</w:t>
            </w:r>
          </w:p>
        </w:tc>
        <w:tc>
          <w:tcPr>
            <w:tcW w:w="2287" w:type="dxa"/>
          </w:tcPr>
          <w:p w14:paraId="0529EFE6" w14:textId="77777777" w:rsidR="00871229" w:rsidRDefault="00871229" w:rsidP="00877DDA">
            <w:pPr>
              <w:rPr>
                <w:b/>
                <w:sz w:val="28"/>
                <w:szCs w:val="28"/>
              </w:rPr>
            </w:pPr>
            <w:r>
              <w:rPr>
                <w:b/>
                <w:sz w:val="28"/>
                <w:szCs w:val="28"/>
              </w:rPr>
              <w:t xml:space="preserve">Serving in </w:t>
            </w:r>
            <w:proofErr w:type="spellStart"/>
            <w:r>
              <w:rPr>
                <w:b/>
                <w:sz w:val="28"/>
                <w:szCs w:val="28"/>
              </w:rPr>
              <w:t>gms</w:t>
            </w:r>
            <w:proofErr w:type="spellEnd"/>
          </w:p>
        </w:tc>
        <w:tc>
          <w:tcPr>
            <w:tcW w:w="2778" w:type="dxa"/>
          </w:tcPr>
          <w:p w14:paraId="34E4EC33" w14:textId="77777777" w:rsidR="00871229" w:rsidRDefault="00871229" w:rsidP="00877DDA">
            <w:pPr>
              <w:rPr>
                <w:b/>
                <w:sz w:val="28"/>
                <w:szCs w:val="28"/>
              </w:rPr>
            </w:pPr>
            <w:r>
              <w:rPr>
                <w:b/>
                <w:sz w:val="28"/>
                <w:szCs w:val="28"/>
              </w:rPr>
              <w:t>Glycaemic load GL</w:t>
            </w:r>
          </w:p>
        </w:tc>
      </w:tr>
      <w:tr w:rsidR="00871229" w14:paraId="51769223" w14:textId="77777777" w:rsidTr="00871229">
        <w:trPr>
          <w:trHeight w:val="781"/>
        </w:trPr>
        <w:tc>
          <w:tcPr>
            <w:tcW w:w="1955" w:type="dxa"/>
          </w:tcPr>
          <w:p w14:paraId="17AD772E" w14:textId="77777777" w:rsidR="00871229" w:rsidRPr="00ED0679" w:rsidRDefault="00871229" w:rsidP="00877DDA">
            <w:pPr>
              <w:rPr>
                <w:sz w:val="28"/>
                <w:szCs w:val="28"/>
              </w:rPr>
            </w:pPr>
            <w:r w:rsidRPr="00ED0679">
              <w:rPr>
                <w:sz w:val="28"/>
                <w:szCs w:val="28"/>
              </w:rPr>
              <w:t>Banana</w:t>
            </w:r>
          </w:p>
        </w:tc>
        <w:tc>
          <w:tcPr>
            <w:tcW w:w="2941" w:type="dxa"/>
            <w:vAlign w:val="center"/>
          </w:tcPr>
          <w:p w14:paraId="74C1E17F" w14:textId="77777777" w:rsidR="00871229" w:rsidRDefault="00871229" w:rsidP="00877DDA">
            <w:pPr>
              <w:jc w:val="center"/>
              <w:rPr>
                <w:b/>
                <w:sz w:val="28"/>
                <w:szCs w:val="28"/>
              </w:rPr>
            </w:pPr>
            <w:r>
              <w:rPr>
                <w:b/>
                <w:sz w:val="28"/>
                <w:szCs w:val="28"/>
              </w:rPr>
              <w:t>62</w:t>
            </w:r>
          </w:p>
        </w:tc>
        <w:tc>
          <w:tcPr>
            <w:tcW w:w="2287" w:type="dxa"/>
            <w:vAlign w:val="center"/>
          </w:tcPr>
          <w:p w14:paraId="4CF4B168" w14:textId="77777777" w:rsidR="00871229" w:rsidRDefault="00871229" w:rsidP="00877DDA">
            <w:pPr>
              <w:jc w:val="center"/>
              <w:rPr>
                <w:b/>
                <w:sz w:val="28"/>
                <w:szCs w:val="28"/>
              </w:rPr>
            </w:pPr>
            <w:r>
              <w:rPr>
                <w:b/>
                <w:sz w:val="28"/>
                <w:szCs w:val="28"/>
              </w:rPr>
              <w:t>120</w:t>
            </w:r>
          </w:p>
        </w:tc>
        <w:tc>
          <w:tcPr>
            <w:tcW w:w="2778" w:type="dxa"/>
            <w:vAlign w:val="center"/>
          </w:tcPr>
          <w:p w14:paraId="6246CEC0" w14:textId="77777777" w:rsidR="00871229" w:rsidRDefault="00871229" w:rsidP="00877DDA">
            <w:pPr>
              <w:jc w:val="center"/>
              <w:rPr>
                <w:b/>
                <w:sz w:val="28"/>
                <w:szCs w:val="28"/>
              </w:rPr>
            </w:pPr>
            <w:r>
              <w:rPr>
                <w:b/>
                <w:sz w:val="28"/>
                <w:szCs w:val="28"/>
              </w:rPr>
              <w:t>16</w:t>
            </w:r>
          </w:p>
        </w:tc>
      </w:tr>
      <w:tr w:rsidR="00871229" w14:paraId="4A354927" w14:textId="77777777" w:rsidTr="00871229">
        <w:trPr>
          <w:trHeight w:val="781"/>
        </w:trPr>
        <w:tc>
          <w:tcPr>
            <w:tcW w:w="1955" w:type="dxa"/>
          </w:tcPr>
          <w:p w14:paraId="4CD12241" w14:textId="77777777" w:rsidR="00871229" w:rsidRPr="00ED0679" w:rsidRDefault="00871229" w:rsidP="00877DDA">
            <w:pPr>
              <w:rPr>
                <w:sz w:val="28"/>
                <w:szCs w:val="28"/>
              </w:rPr>
            </w:pPr>
            <w:r w:rsidRPr="00ED0679">
              <w:rPr>
                <w:sz w:val="28"/>
                <w:szCs w:val="28"/>
              </w:rPr>
              <w:t>Watermelon</w:t>
            </w:r>
          </w:p>
        </w:tc>
        <w:tc>
          <w:tcPr>
            <w:tcW w:w="2941" w:type="dxa"/>
            <w:vAlign w:val="center"/>
          </w:tcPr>
          <w:p w14:paraId="0E1BF3C7" w14:textId="77777777" w:rsidR="00871229" w:rsidRDefault="00871229" w:rsidP="00877DDA">
            <w:pPr>
              <w:jc w:val="center"/>
              <w:rPr>
                <w:b/>
                <w:sz w:val="28"/>
                <w:szCs w:val="28"/>
              </w:rPr>
            </w:pPr>
            <w:r>
              <w:rPr>
                <w:b/>
                <w:sz w:val="28"/>
                <w:szCs w:val="28"/>
              </w:rPr>
              <w:t>80</w:t>
            </w:r>
          </w:p>
        </w:tc>
        <w:tc>
          <w:tcPr>
            <w:tcW w:w="2287" w:type="dxa"/>
            <w:vAlign w:val="center"/>
          </w:tcPr>
          <w:p w14:paraId="6163DCCD" w14:textId="77777777" w:rsidR="00871229" w:rsidRDefault="00871229" w:rsidP="00877DDA">
            <w:pPr>
              <w:jc w:val="center"/>
              <w:rPr>
                <w:b/>
                <w:sz w:val="28"/>
                <w:szCs w:val="28"/>
              </w:rPr>
            </w:pPr>
            <w:r>
              <w:rPr>
                <w:b/>
                <w:sz w:val="28"/>
                <w:szCs w:val="28"/>
              </w:rPr>
              <w:t>120</w:t>
            </w:r>
          </w:p>
        </w:tc>
        <w:tc>
          <w:tcPr>
            <w:tcW w:w="2778" w:type="dxa"/>
            <w:vAlign w:val="center"/>
          </w:tcPr>
          <w:p w14:paraId="4F1A9790" w14:textId="77777777" w:rsidR="00871229" w:rsidRDefault="00871229" w:rsidP="00877DDA">
            <w:pPr>
              <w:jc w:val="center"/>
              <w:rPr>
                <w:b/>
                <w:sz w:val="28"/>
                <w:szCs w:val="28"/>
              </w:rPr>
            </w:pPr>
            <w:r>
              <w:rPr>
                <w:b/>
                <w:sz w:val="28"/>
                <w:szCs w:val="28"/>
              </w:rPr>
              <w:t>5</w:t>
            </w:r>
          </w:p>
        </w:tc>
      </w:tr>
    </w:tbl>
    <w:p w14:paraId="79442ED6" w14:textId="77777777" w:rsidR="00871229" w:rsidRDefault="00871229" w:rsidP="00581C5B">
      <w:pPr>
        <w:spacing w:after="80" w:line="259" w:lineRule="auto"/>
        <w:rPr>
          <w:b/>
          <w:bCs/>
          <w:u w:val="single"/>
        </w:rPr>
      </w:pPr>
      <w:bookmarkStart w:id="1" w:name="5"/>
      <w:bookmarkEnd w:id="1"/>
    </w:p>
    <w:p w14:paraId="47C5C77F" w14:textId="77777777" w:rsidR="00581C5B" w:rsidRPr="00581C5B" w:rsidRDefault="00581C5B" w:rsidP="00581C5B">
      <w:pPr>
        <w:spacing w:after="80" w:line="259" w:lineRule="auto"/>
        <w:rPr>
          <w:b/>
          <w:bCs/>
          <w:sz w:val="28"/>
          <w:szCs w:val="28"/>
          <w:u w:val="single"/>
        </w:rPr>
      </w:pPr>
      <w:r w:rsidRPr="00581C5B">
        <w:rPr>
          <w:b/>
          <w:bCs/>
          <w:sz w:val="28"/>
          <w:szCs w:val="28"/>
          <w:u w:val="single"/>
        </w:rPr>
        <w:t>Glycaemic load</w:t>
      </w:r>
    </w:p>
    <w:p w14:paraId="09832171" w14:textId="0FFEC236" w:rsidR="00581C5B" w:rsidRPr="00581C5B" w:rsidRDefault="00581C5B" w:rsidP="00581C5B">
      <w:pPr>
        <w:spacing w:after="80" w:line="259" w:lineRule="auto"/>
        <w:rPr>
          <w:sz w:val="28"/>
          <w:szCs w:val="28"/>
        </w:rPr>
      </w:pPr>
      <w:r w:rsidRPr="00581C5B">
        <w:rPr>
          <w:sz w:val="28"/>
          <w:szCs w:val="28"/>
        </w:rPr>
        <w:t>GL was introduced via epidemiological work that positively related the incidence of T2D to post-prandial increments in blood glucose from foods</w:t>
      </w:r>
      <w:r w:rsidR="00F76621">
        <w:rPr>
          <w:sz w:val="28"/>
          <w:szCs w:val="28"/>
        </w:rPr>
        <w:fldChar w:fldCharType="begin">
          <w:fldData xml:space="preserve">PEVuZE5vdGU+PENpdGU+PEF1dGhvcj5TYWxtZXLDs248L0F1dGhvcj48WWVhcj4xOTk3PC9ZZWFy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</w:fldData>
        </w:fldChar>
      </w:r>
      <w:r w:rsidR="00BE311C">
        <w:rPr>
          <w:sz w:val="28"/>
          <w:szCs w:val="28"/>
        </w:rPr>
        <w:instrText xml:space="preserve"> ADDIN EN.CITE </w:instrText>
      </w:r>
      <w:r w:rsidR="00BE311C">
        <w:rPr>
          <w:sz w:val="28"/>
          <w:szCs w:val="28"/>
        </w:rPr>
        <w:fldChar w:fldCharType="begin">
          <w:fldData xml:space="preserve">PEVuZE5vdGU+PENpdGU+PEF1dGhvcj5TYWxtZXLDs248L0F1dGhvcj48WWVhcj4xOTk3PC9ZZWFy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</w:fldData>
        </w:fldChar>
      </w:r>
      <w:r w:rsidR="00BE311C">
        <w:rPr>
          <w:sz w:val="28"/>
          <w:szCs w:val="28"/>
        </w:rPr>
        <w:instrText xml:space="preserve"> ADDIN EN.CITE.DATA </w:instrText>
      </w:r>
      <w:r w:rsidR="00BE311C">
        <w:rPr>
          <w:sz w:val="28"/>
          <w:szCs w:val="28"/>
        </w:rPr>
      </w:r>
      <w:r w:rsidR="00BE311C">
        <w:rPr>
          <w:sz w:val="28"/>
          <w:szCs w:val="28"/>
        </w:rPr>
        <w:fldChar w:fldCharType="end"/>
      </w:r>
      <w:r w:rsidR="00F76621">
        <w:rPr>
          <w:sz w:val="28"/>
          <w:szCs w:val="28"/>
        </w:rPr>
        <w:fldChar w:fldCharType="separate"/>
      </w:r>
      <w:r w:rsidR="00AA020A">
        <w:rPr>
          <w:noProof/>
          <w:sz w:val="28"/>
          <w:szCs w:val="28"/>
        </w:rPr>
        <w:t>(1, 2)</w:t>
      </w:r>
      <w:r w:rsidR="00F76621">
        <w:rPr>
          <w:sz w:val="28"/>
          <w:szCs w:val="28"/>
        </w:rPr>
        <w:fldChar w:fldCharType="end"/>
      </w:r>
      <w:r w:rsidRPr="00581C5B">
        <w:rPr>
          <w:sz w:val="28"/>
          <w:szCs w:val="28"/>
        </w:rPr>
        <w:t xml:space="preserve">. In assessing the effect of a particular food on blood glucose, there are two important questions: </w:t>
      </w:r>
    </w:p>
    <w:p w14:paraId="06A6986A" w14:textId="77777777" w:rsidR="00581C5B" w:rsidRPr="00581C5B" w:rsidRDefault="00581C5B" w:rsidP="00581C5B">
      <w:pPr>
        <w:numPr>
          <w:ilvl w:val="0"/>
          <w:numId w:val="2"/>
        </w:numPr>
        <w:spacing w:after="80" w:line="259" w:lineRule="auto"/>
        <w:rPr>
          <w:sz w:val="28"/>
          <w:szCs w:val="28"/>
        </w:rPr>
      </w:pPr>
      <w:r w:rsidRPr="00581C5B">
        <w:rPr>
          <w:sz w:val="28"/>
          <w:szCs w:val="28"/>
        </w:rPr>
        <w:t>What is the density of carbohydrate in the food?</w:t>
      </w:r>
      <w:r w:rsidR="0050667F">
        <w:rPr>
          <w:sz w:val="28"/>
          <w:szCs w:val="28"/>
        </w:rPr>
        <w:t xml:space="preserve"> </w:t>
      </w:r>
    </w:p>
    <w:p w14:paraId="4031BC00" w14:textId="77777777" w:rsidR="00581C5B" w:rsidRPr="00581C5B" w:rsidRDefault="00581C5B" w:rsidP="00581C5B">
      <w:pPr>
        <w:numPr>
          <w:ilvl w:val="0"/>
          <w:numId w:val="2"/>
        </w:numPr>
        <w:spacing w:after="80" w:line="259" w:lineRule="auto"/>
        <w:rPr>
          <w:sz w:val="28"/>
          <w:szCs w:val="28"/>
        </w:rPr>
      </w:pPr>
      <w:r w:rsidRPr="00581C5B">
        <w:rPr>
          <w:sz w:val="28"/>
          <w:szCs w:val="28"/>
        </w:rPr>
        <w:t>How does the particular carbohydrate in a typical portion of that food affect post-prandial blood glucose?</w:t>
      </w:r>
    </w:p>
    <w:p w14:paraId="4F062D42" w14:textId="77777777" w:rsidR="00581C5B" w:rsidRPr="00581C5B" w:rsidRDefault="00581C5B" w:rsidP="00581C5B">
      <w:pPr>
        <w:spacing w:after="80" w:line="259" w:lineRule="auto"/>
        <w:rPr>
          <w:sz w:val="28"/>
          <w:szCs w:val="28"/>
        </w:rPr>
      </w:pPr>
      <w:r w:rsidRPr="00581C5B">
        <w:rPr>
          <w:sz w:val="28"/>
          <w:szCs w:val="28"/>
        </w:rPr>
        <w:lastRenderedPageBreak/>
        <w:t xml:space="preserve">In talking with health professionals and patients, we </w:t>
      </w:r>
      <w:r w:rsidR="0003708F">
        <w:rPr>
          <w:sz w:val="28"/>
          <w:szCs w:val="28"/>
        </w:rPr>
        <w:t>re-</w:t>
      </w:r>
      <w:r w:rsidR="00B263C0">
        <w:rPr>
          <w:sz w:val="28"/>
          <w:szCs w:val="28"/>
        </w:rPr>
        <w:t>interpreted</w:t>
      </w:r>
      <w:r w:rsidRPr="00581C5B">
        <w:rPr>
          <w:sz w:val="28"/>
          <w:szCs w:val="28"/>
        </w:rPr>
        <w:t xml:space="preserve"> these</w:t>
      </w:r>
      <w:r w:rsidR="0003708F">
        <w:rPr>
          <w:sz w:val="28"/>
          <w:szCs w:val="28"/>
        </w:rPr>
        <w:t xml:space="preserve"> 2</w:t>
      </w:r>
      <w:r w:rsidRPr="00581C5B">
        <w:rPr>
          <w:sz w:val="28"/>
          <w:szCs w:val="28"/>
        </w:rPr>
        <w:t xml:space="preserve"> questions about the food. It seemed to help communication, to ask: </w:t>
      </w:r>
    </w:p>
    <w:p w14:paraId="3B030DFA" w14:textId="77777777" w:rsidR="00581C5B" w:rsidRPr="00581C5B" w:rsidRDefault="00581C5B" w:rsidP="00581C5B">
      <w:pPr>
        <w:numPr>
          <w:ilvl w:val="0"/>
          <w:numId w:val="3"/>
        </w:numPr>
        <w:tabs>
          <w:tab w:val="num" w:pos="720"/>
        </w:tabs>
        <w:spacing w:after="80" w:line="259" w:lineRule="auto"/>
        <w:rPr>
          <w:sz w:val="28"/>
          <w:szCs w:val="28"/>
        </w:rPr>
      </w:pPr>
      <w:r w:rsidRPr="00581C5B">
        <w:rPr>
          <w:sz w:val="28"/>
          <w:szCs w:val="28"/>
        </w:rPr>
        <w:t xml:space="preserve">How </w:t>
      </w:r>
      <w:proofErr w:type="spellStart"/>
      <w:r w:rsidRPr="00581C5B">
        <w:rPr>
          <w:sz w:val="28"/>
          <w:szCs w:val="28"/>
        </w:rPr>
        <w:t>carby</w:t>
      </w:r>
      <w:proofErr w:type="spellEnd"/>
      <w:r w:rsidRPr="00581C5B">
        <w:rPr>
          <w:sz w:val="28"/>
          <w:szCs w:val="28"/>
        </w:rPr>
        <w:t xml:space="preserve"> is it? (Q1)</w:t>
      </w:r>
    </w:p>
    <w:p w14:paraId="7F3BF0DB" w14:textId="77777777" w:rsidR="00581C5B" w:rsidRPr="0050667F" w:rsidRDefault="00581C5B" w:rsidP="0003708F">
      <w:pPr>
        <w:numPr>
          <w:ilvl w:val="0"/>
          <w:numId w:val="3"/>
        </w:numPr>
        <w:spacing w:after="80" w:line="259" w:lineRule="auto"/>
        <w:rPr>
          <w:b/>
          <w:sz w:val="28"/>
          <w:szCs w:val="28"/>
        </w:rPr>
      </w:pPr>
      <w:r w:rsidRPr="00581C5B">
        <w:rPr>
          <w:sz w:val="28"/>
          <w:szCs w:val="28"/>
        </w:rPr>
        <w:t>How sugary is that particular carb? (Q2)</w:t>
      </w:r>
      <w:r w:rsidR="0003708F">
        <w:rPr>
          <w:sz w:val="28"/>
          <w:szCs w:val="28"/>
        </w:rPr>
        <w:t xml:space="preserve"> </w:t>
      </w:r>
      <w:r w:rsidR="0003708F" w:rsidRPr="0003708F">
        <w:rPr>
          <w:sz w:val="28"/>
          <w:szCs w:val="28"/>
        </w:rPr>
        <w:t xml:space="preserve">This relates to the </w:t>
      </w:r>
      <w:r w:rsidR="0003708F" w:rsidRPr="0003708F">
        <w:rPr>
          <w:b/>
          <w:sz w:val="28"/>
          <w:szCs w:val="28"/>
        </w:rPr>
        <w:t>glycaemic index (GI)</w:t>
      </w:r>
      <w:r w:rsidR="0003708F" w:rsidRPr="0003708F">
        <w:rPr>
          <w:sz w:val="28"/>
          <w:szCs w:val="28"/>
        </w:rPr>
        <w:t xml:space="preserve"> where the carbohydrate is compared to pure glucose in terms of its effect on blood glucose- which in terms of the index counts as 100 </w:t>
      </w:r>
    </w:p>
    <w:p w14:paraId="3993F4E0" w14:textId="77777777" w:rsidR="00871229" w:rsidRPr="00B263C0" w:rsidRDefault="0050667F" w:rsidP="00581C5B">
      <w:pPr>
        <w:spacing w:after="80" w:line="259" w:lineRule="auto"/>
        <w:rPr>
          <w:b/>
          <w:sz w:val="28"/>
          <w:szCs w:val="28"/>
        </w:rPr>
      </w:pPr>
      <w:r>
        <w:rPr>
          <w:sz w:val="28"/>
          <w:szCs w:val="28"/>
        </w:rPr>
        <w:t>In this way,</w:t>
      </w:r>
      <w:r w:rsidRPr="0050667F">
        <w:rPr>
          <w:sz w:val="28"/>
          <w:szCs w:val="28"/>
        </w:rPr>
        <w:t xml:space="preserve"> for a given portion of food we can now predict how many grams of glucose taken orally would affect the blood glucose to the same extent as the portion of actual food in question?</w:t>
      </w:r>
      <w:r w:rsidR="00B263C0">
        <w:rPr>
          <w:b/>
          <w:sz w:val="28"/>
          <w:szCs w:val="28"/>
        </w:rPr>
        <w:t xml:space="preserve"> </w:t>
      </w:r>
      <w:r w:rsidR="00B263C0">
        <w:rPr>
          <w:sz w:val="28"/>
          <w:szCs w:val="28"/>
        </w:rPr>
        <w:t>(</w:t>
      </w:r>
      <w:r w:rsidR="00581C5B" w:rsidRPr="00581C5B">
        <w:rPr>
          <w:sz w:val="28"/>
          <w:szCs w:val="28"/>
        </w:rPr>
        <w:t xml:space="preserve">Note that the two questions investigate the total available (digestible) carbohydrate content </w:t>
      </w:r>
      <w:r>
        <w:rPr>
          <w:sz w:val="28"/>
          <w:szCs w:val="28"/>
        </w:rPr>
        <w:t>of a serving or portion of food.</w:t>
      </w:r>
      <w:r w:rsidR="00B263C0">
        <w:rPr>
          <w:sz w:val="28"/>
          <w:szCs w:val="28"/>
        </w:rPr>
        <w:t>)</w:t>
      </w:r>
    </w:p>
    <w:p w14:paraId="7C25FDD4" w14:textId="6D755921" w:rsidR="0050667F" w:rsidRPr="0003708F" w:rsidRDefault="0050667F" w:rsidP="00581C5B">
      <w:pPr>
        <w:spacing w:after="80" w:line="259" w:lineRule="auto"/>
        <w:rPr>
          <w:sz w:val="28"/>
          <w:szCs w:val="28"/>
        </w:rPr>
      </w:pPr>
      <w:r>
        <w:rPr>
          <w:sz w:val="28"/>
          <w:szCs w:val="28"/>
        </w:rPr>
        <w:t xml:space="preserve">In clinical practice it became clear that neither patients nor most health care professionals understood the </w:t>
      </w:r>
      <w:r w:rsidR="000B26AA">
        <w:rPr>
          <w:sz w:val="28"/>
          <w:szCs w:val="28"/>
        </w:rPr>
        <w:t>glycaemic</w:t>
      </w:r>
      <w:r>
        <w:rPr>
          <w:sz w:val="28"/>
          <w:szCs w:val="28"/>
        </w:rPr>
        <w:t xml:space="preserve"> index or its derived glycaemic load. Upon investigation we found in part this was due to the fact that most people are unfamiliar </w:t>
      </w:r>
      <w:r w:rsidR="000B26AA">
        <w:rPr>
          <w:sz w:val="28"/>
          <w:szCs w:val="28"/>
        </w:rPr>
        <w:t xml:space="preserve">both </w:t>
      </w:r>
      <w:r>
        <w:rPr>
          <w:sz w:val="28"/>
          <w:szCs w:val="28"/>
        </w:rPr>
        <w:t>with glucose and</w:t>
      </w:r>
      <w:r w:rsidR="000B26AA">
        <w:rPr>
          <w:sz w:val="28"/>
          <w:szCs w:val="28"/>
        </w:rPr>
        <w:t xml:space="preserve"> with grams as a measure of weight.</w:t>
      </w:r>
      <w:r>
        <w:rPr>
          <w:sz w:val="28"/>
          <w:szCs w:val="28"/>
        </w:rPr>
        <w:t xml:space="preserve"> </w:t>
      </w:r>
      <w:r w:rsidR="006A30F8">
        <w:rPr>
          <w:sz w:val="28"/>
          <w:szCs w:val="28"/>
        </w:rPr>
        <w:t>So,</w:t>
      </w:r>
      <w:r>
        <w:rPr>
          <w:sz w:val="28"/>
          <w:szCs w:val="28"/>
        </w:rPr>
        <w:t xml:space="preserve"> </w:t>
      </w:r>
      <w:r w:rsidR="000B26AA">
        <w:rPr>
          <w:sz w:val="28"/>
          <w:szCs w:val="28"/>
        </w:rPr>
        <w:t>few people</w:t>
      </w:r>
      <w:r>
        <w:rPr>
          <w:sz w:val="28"/>
          <w:szCs w:val="28"/>
        </w:rPr>
        <w:t xml:space="preserve"> really understand say 16g of glucose</w:t>
      </w:r>
      <w:r w:rsidR="00AD0C83">
        <w:rPr>
          <w:sz w:val="28"/>
          <w:szCs w:val="28"/>
        </w:rPr>
        <w:t>.</w:t>
      </w:r>
      <w:r>
        <w:rPr>
          <w:sz w:val="28"/>
          <w:szCs w:val="28"/>
        </w:rPr>
        <w:t xml:space="preserve"> I took expert advice from Dr </w:t>
      </w:r>
      <w:r w:rsidR="00AD0C83" w:rsidRPr="00AD0C83">
        <w:rPr>
          <w:bCs/>
          <w:sz w:val="28"/>
          <w:szCs w:val="28"/>
        </w:rPr>
        <w:t>Geoffrey Livesey</w:t>
      </w:r>
      <w:r w:rsidR="00AD0C83" w:rsidRPr="00AD0C83">
        <w:rPr>
          <w:sz w:val="28"/>
          <w:szCs w:val="28"/>
        </w:rPr>
        <w:t xml:space="preserve"> </w:t>
      </w:r>
      <w:r w:rsidR="00F42494">
        <w:rPr>
          <w:sz w:val="28"/>
          <w:szCs w:val="28"/>
        </w:rPr>
        <w:t>(</w:t>
      </w:r>
      <w:r>
        <w:rPr>
          <w:sz w:val="28"/>
          <w:szCs w:val="28"/>
        </w:rPr>
        <w:t xml:space="preserve">one of the original researchers into the </w:t>
      </w:r>
      <w:r w:rsidR="00F42494">
        <w:rPr>
          <w:sz w:val="28"/>
          <w:szCs w:val="28"/>
        </w:rPr>
        <w:t>glycaemic index</w:t>
      </w:r>
      <w:r w:rsidR="00AA020A">
        <w:rPr>
          <w:sz w:val="28"/>
          <w:szCs w:val="28"/>
        </w:rPr>
        <w:fldChar w:fldCharType="begin"/>
      </w:r>
      <w:r w:rsidR="00BE311C">
        <w:rPr>
          <w:sz w:val="28"/>
          <w:szCs w:val="28"/>
        </w:rPr>
        <w:instrText xml:space="preserve"> ADDIN EN.CITE &lt;EndNote&gt;&lt;Cite&gt;&lt;Author&gt;Livesey&lt;/Author&gt;&lt;Year&gt;2013&lt;/Year&gt;&lt;RecNum&gt;552&lt;/RecNum&gt;&lt;DisplayText&gt;(3)&lt;/DisplayText&gt;&lt;record&gt;&lt;rec-number&gt;552&lt;/rec-number&gt;&lt;foreign-keys&gt;&lt;key app="EN" db-id="v0zfff527t0azne0f5bpf50fe5rwdfdapxrd" timestamp="1618999305" guid="eaaabe5c-32d5-4323-bb4e-5d762706efb8"&gt;552&lt;/key&gt;&lt;/foreign-keys&gt;&lt;ref-type name="Journal Article"&gt;17&lt;/ref-type&gt;&lt;contributors&gt;&lt;authors&gt;&lt;author&gt;Livesey, Geoffrey&lt;/author&gt;&lt;author&gt;Taylor, Richard&lt;/author&gt;&lt;author&gt;Livesey, Helen&lt;/author&gt;&lt;author&gt;Liu, Simin&lt;/author&gt;&lt;/authors&gt;&lt;/contributors&gt;&lt;titles&gt;&lt;title&gt;Is there a dose-response relation of dietary glycemic load to risk of type 2 diabetes? Meta-analysis of prospective cohort studies&lt;/title&gt;&lt;secondary-title&gt;The American Journal of Clinical Nutrition&lt;/secondary-title&gt;&lt;/titles&gt;&lt;periodical&gt;&lt;full-title&gt;The American Journal of Clinical Nutrition&lt;/full-title&gt;&lt;/periodical&gt;&lt;pages&gt;584-596&lt;/pages&gt;&lt;volume&gt;97&lt;/volume&gt;&lt;number&gt;3&lt;/number&gt;&lt;dates&gt;&lt;year&gt;2013&lt;/year&gt;&lt;/dates&gt;&lt;isbn&gt;0002-9165&lt;/isbn&gt;&lt;urls&gt;&lt;related-urls&gt;&lt;url&gt;https://doi.org/10.3945/ajcn.112.041467&lt;/url&gt;&lt;/related-urls&gt;&lt;/urls&gt;&lt;electronic-resource-num&gt;10.3945/ajcn.112.041467&lt;/electronic-resource-num&gt;&lt;access-date&gt;4/21/2021&lt;/access-date&gt;&lt;/record&gt;&lt;/Cite&gt;&lt;/EndNote&gt;</w:instrText>
      </w:r>
      <w:r w:rsidR="00AA020A">
        <w:rPr>
          <w:sz w:val="28"/>
          <w:szCs w:val="28"/>
        </w:rPr>
        <w:fldChar w:fldCharType="separate"/>
      </w:r>
      <w:r w:rsidR="00AA020A">
        <w:rPr>
          <w:noProof/>
          <w:sz w:val="28"/>
          <w:szCs w:val="28"/>
        </w:rPr>
        <w:t>(3)</w:t>
      </w:r>
      <w:r w:rsidR="00AA020A">
        <w:rPr>
          <w:sz w:val="28"/>
          <w:szCs w:val="28"/>
        </w:rPr>
        <w:fldChar w:fldCharType="end"/>
      </w:r>
      <w:r w:rsidR="00F42494">
        <w:rPr>
          <w:sz w:val="28"/>
          <w:szCs w:val="28"/>
        </w:rPr>
        <w:t xml:space="preserve">) </w:t>
      </w:r>
      <w:r w:rsidR="00AD0C83">
        <w:rPr>
          <w:sz w:val="28"/>
          <w:szCs w:val="28"/>
        </w:rPr>
        <w:t>who agreed the validity of re-interpretati</w:t>
      </w:r>
      <w:r w:rsidR="000B26AA">
        <w:rPr>
          <w:sz w:val="28"/>
          <w:szCs w:val="28"/>
        </w:rPr>
        <w:t xml:space="preserve">ng the glycaemic load of specific portions of food </w:t>
      </w:r>
      <w:r w:rsidR="00AD0C83">
        <w:rPr>
          <w:sz w:val="28"/>
          <w:szCs w:val="28"/>
        </w:rPr>
        <w:t xml:space="preserve"> in terms of the far more familiar 4g teaspoon of table sugar. </w:t>
      </w:r>
      <w:r w:rsidR="000B26AA">
        <w:rPr>
          <w:sz w:val="28"/>
          <w:szCs w:val="28"/>
        </w:rPr>
        <w:t>We</w:t>
      </w:r>
      <w:r w:rsidR="00B263C0">
        <w:rPr>
          <w:sz w:val="28"/>
          <w:szCs w:val="28"/>
        </w:rPr>
        <w:t xml:space="preserve"> then co-authored the resulting paper</w:t>
      </w:r>
      <w:r w:rsidR="00AA020A">
        <w:rPr>
          <w:sz w:val="28"/>
          <w:szCs w:val="28"/>
        </w:rPr>
        <w:fldChar w:fldCharType="begin"/>
      </w:r>
      <w:r w:rsidR="00AA020A">
        <w:rPr>
          <w:sz w:val="28"/>
          <w:szCs w:val="28"/>
        </w:rPr>
        <w:instrText xml:space="preserve"> ADDIN EN.CITE &lt;EndNote&gt;&lt;Cite&gt;&lt;Author&gt;David Unwin&lt;/Author&gt;&lt;Year&gt;2016&lt;/Year&gt;&lt;RecNum&gt;242&lt;/RecNum&gt;&lt;DisplayText&gt;(4)&lt;/DisplayText&gt;&lt;record&gt;&lt;rec-number&gt;242&lt;/rec-number&gt;&lt;foreign-keys&gt;&lt;key app="EN" db-id="v0zfff527t0azne0f5bpf50fe5rwdfdapxrd" timestamp="1598889882" guid="7370fa25-bc24-4176-a1ab-5ca42c2545fe"&gt;242&lt;/key&gt;&lt;/foreign-keys&gt;&lt;ref-type name="Journal Article"&gt;17&lt;/ref-type&gt;&lt;contributors&gt;&lt;authors&gt;&lt;author&gt;David Unwin, David Haslam, Geoffrey Livesey,&lt;/author&gt;&lt;/authors&gt;&lt;/contributors&gt;&lt;titles&gt;&lt;title&gt;It is the glycaemic response to, not the carbohydrate content of food that maters in diabetes and obesity: The glycaemic index revisited&lt;/title&gt;&lt;secondary-title&gt;Journal of Insulin Resistance&lt;/secondary-title&gt;&lt;/titles&gt;&lt;periodical&gt;&lt;full-title&gt;Journal of Insulin Resistance&lt;/full-title&gt;&lt;/periodical&gt;&lt;volume&gt;2016;1(1), a8.&lt;/volume&gt;&lt;number&gt;&lt;style face="underline" font="default" size="100%"&gt;https://insulinresistance.org/index.php/jir/article/view/8/11&lt;/style&gt;&lt;/number&gt;&lt;dates&gt;&lt;year&gt;2016&lt;/year&gt;&lt;/dates&gt;&lt;urls&gt;&lt;/urls&gt;&lt;electronic-resource-num&gt;10.4102/jir.v1i1.8&lt;/electronic-resource-num&gt;&lt;/record&gt;&lt;/Cite&gt;&lt;/EndNote&gt;</w:instrText>
      </w:r>
      <w:r w:rsidR="00AA020A">
        <w:rPr>
          <w:sz w:val="28"/>
          <w:szCs w:val="28"/>
        </w:rPr>
        <w:fldChar w:fldCharType="separate"/>
      </w:r>
      <w:r w:rsidR="00AA020A">
        <w:rPr>
          <w:noProof/>
          <w:sz w:val="28"/>
          <w:szCs w:val="28"/>
        </w:rPr>
        <w:t>(4)</w:t>
      </w:r>
      <w:r w:rsidR="00AA020A">
        <w:rPr>
          <w:sz w:val="28"/>
          <w:szCs w:val="28"/>
        </w:rPr>
        <w:fldChar w:fldCharType="end"/>
      </w:r>
      <w:r w:rsidR="00B263C0">
        <w:rPr>
          <w:sz w:val="28"/>
          <w:szCs w:val="28"/>
        </w:rPr>
        <w:t xml:space="preserve"> </w:t>
      </w:r>
      <w:r w:rsidR="006A30F8">
        <w:rPr>
          <w:sz w:val="28"/>
          <w:szCs w:val="28"/>
        </w:rPr>
        <w:t>which launched the ‘teaspoon of sugar’ infographics in 2016.</w:t>
      </w:r>
    </w:p>
    <w:p w14:paraId="5887A0A8" w14:textId="77777777" w:rsidR="00871229" w:rsidRPr="0003708F" w:rsidRDefault="0003708F" w:rsidP="00581C5B">
      <w:pPr>
        <w:spacing w:after="80" w:line="259" w:lineRule="auto"/>
        <w:rPr>
          <w:sz w:val="28"/>
          <w:szCs w:val="28"/>
        </w:rPr>
      </w:pPr>
      <w:r>
        <w:rPr>
          <w:sz w:val="28"/>
          <w:szCs w:val="28"/>
        </w:rPr>
        <w:t xml:space="preserve">In </w:t>
      </w:r>
      <w:r w:rsidRPr="00AD0C83">
        <w:rPr>
          <w:b/>
          <w:sz w:val="28"/>
          <w:szCs w:val="28"/>
        </w:rPr>
        <w:t>Box 2</w:t>
      </w:r>
      <w:r w:rsidR="00581C5B" w:rsidRPr="00581C5B">
        <w:rPr>
          <w:b/>
          <w:sz w:val="28"/>
          <w:szCs w:val="28"/>
        </w:rPr>
        <w:t xml:space="preserve"> </w:t>
      </w:r>
      <w:r w:rsidR="00581C5B" w:rsidRPr="00581C5B">
        <w:rPr>
          <w:sz w:val="28"/>
          <w:szCs w:val="28"/>
        </w:rPr>
        <w:t>we show the calculations</w:t>
      </w:r>
      <w:r w:rsidR="00B263C0">
        <w:rPr>
          <w:sz w:val="28"/>
          <w:szCs w:val="28"/>
        </w:rPr>
        <w:t xml:space="preserve"> </w:t>
      </w:r>
      <w:r w:rsidR="004E5EE5">
        <w:rPr>
          <w:sz w:val="28"/>
          <w:szCs w:val="28"/>
        </w:rPr>
        <w:t>(</w:t>
      </w:r>
      <w:r w:rsidR="00B263C0">
        <w:rPr>
          <w:sz w:val="28"/>
          <w:szCs w:val="28"/>
        </w:rPr>
        <w:t xml:space="preserve">published in that </w:t>
      </w:r>
      <w:r w:rsidR="0023614B">
        <w:rPr>
          <w:sz w:val="28"/>
          <w:szCs w:val="28"/>
        </w:rPr>
        <w:t>paper</w:t>
      </w:r>
      <w:r w:rsidR="004E5EE5">
        <w:rPr>
          <w:sz w:val="28"/>
          <w:szCs w:val="28"/>
        </w:rPr>
        <w:t>)</w:t>
      </w:r>
      <w:r w:rsidR="0023614B">
        <w:rPr>
          <w:sz w:val="28"/>
          <w:szCs w:val="28"/>
        </w:rPr>
        <w:t xml:space="preserve"> </w:t>
      </w:r>
      <w:r w:rsidR="0023614B" w:rsidRPr="00581C5B">
        <w:rPr>
          <w:sz w:val="28"/>
          <w:szCs w:val="28"/>
        </w:rPr>
        <w:t>for</w:t>
      </w:r>
      <w:r w:rsidR="00581C5B" w:rsidRPr="00581C5B">
        <w:rPr>
          <w:sz w:val="28"/>
          <w:szCs w:val="28"/>
        </w:rPr>
        <w:t xml:space="preserve"> </w:t>
      </w:r>
      <w:r>
        <w:rPr>
          <w:sz w:val="28"/>
          <w:szCs w:val="28"/>
        </w:rPr>
        <w:t>brown bread</w:t>
      </w:r>
      <w:r w:rsidR="0023614B">
        <w:rPr>
          <w:sz w:val="28"/>
          <w:szCs w:val="28"/>
        </w:rPr>
        <w:t>,</w:t>
      </w:r>
      <w:r w:rsidR="00581C5B" w:rsidRPr="00581C5B">
        <w:rPr>
          <w:sz w:val="28"/>
          <w:szCs w:val="28"/>
        </w:rPr>
        <w:t xml:space="preserve"> </w:t>
      </w:r>
      <w:r w:rsidR="0023614B">
        <w:rPr>
          <w:sz w:val="28"/>
          <w:szCs w:val="28"/>
        </w:rPr>
        <w:t xml:space="preserve">initially </w:t>
      </w:r>
      <w:r w:rsidR="00581C5B" w:rsidRPr="00581C5B">
        <w:rPr>
          <w:sz w:val="28"/>
          <w:szCs w:val="28"/>
        </w:rPr>
        <w:t>using</w:t>
      </w:r>
      <w:r w:rsidR="0023614B">
        <w:rPr>
          <w:sz w:val="28"/>
          <w:szCs w:val="28"/>
        </w:rPr>
        <w:t xml:space="preserve"> the conventional sugar,</w:t>
      </w:r>
      <w:r w:rsidR="00581C5B" w:rsidRPr="00581C5B">
        <w:rPr>
          <w:sz w:val="28"/>
          <w:szCs w:val="28"/>
        </w:rPr>
        <w:t xml:space="preserve"> glu</w:t>
      </w:r>
      <w:r>
        <w:rPr>
          <w:sz w:val="28"/>
          <w:szCs w:val="28"/>
        </w:rPr>
        <w:t>cose as the reference standard</w:t>
      </w:r>
      <w:r w:rsidR="00581C5B" w:rsidRPr="00581C5B">
        <w:rPr>
          <w:sz w:val="28"/>
          <w:szCs w:val="28"/>
        </w:rPr>
        <w:t xml:space="preserve">, </w:t>
      </w:r>
      <w:r w:rsidR="0023614B">
        <w:rPr>
          <w:sz w:val="28"/>
          <w:szCs w:val="28"/>
        </w:rPr>
        <w:t>this</w:t>
      </w:r>
      <w:r w:rsidR="00581C5B" w:rsidRPr="00581C5B">
        <w:rPr>
          <w:sz w:val="28"/>
          <w:szCs w:val="28"/>
        </w:rPr>
        <w:t xml:space="preserve"> gives the ‘glycaemic load per serving’ (with units of </w:t>
      </w:r>
      <w:proofErr w:type="spellStart"/>
      <w:r w:rsidR="00581C5B" w:rsidRPr="00581C5B">
        <w:rPr>
          <w:sz w:val="28"/>
          <w:szCs w:val="28"/>
        </w:rPr>
        <w:t>g</w:t>
      </w:r>
      <w:r w:rsidR="0023614B">
        <w:rPr>
          <w:sz w:val="28"/>
          <w:szCs w:val="28"/>
        </w:rPr>
        <w:t>ms</w:t>
      </w:r>
      <w:proofErr w:type="spellEnd"/>
      <w:r w:rsidR="0023614B">
        <w:rPr>
          <w:sz w:val="28"/>
          <w:szCs w:val="28"/>
        </w:rPr>
        <w:t xml:space="preserve"> of glucose</w:t>
      </w:r>
      <w:r w:rsidR="00581C5B" w:rsidRPr="00581C5B">
        <w:rPr>
          <w:sz w:val="28"/>
          <w:szCs w:val="28"/>
        </w:rPr>
        <w:t>/serving).</w:t>
      </w:r>
    </w:p>
    <w:p w14:paraId="662B2392" w14:textId="7E28D974" w:rsidR="00871229" w:rsidRPr="0003708F" w:rsidRDefault="00581C5B" w:rsidP="00581C5B">
      <w:pPr>
        <w:spacing w:after="80" w:line="259" w:lineRule="auto"/>
        <w:rPr>
          <w:sz w:val="28"/>
          <w:szCs w:val="28"/>
        </w:rPr>
      </w:pPr>
      <w:r w:rsidRPr="00581C5B">
        <w:rPr>
          <w:sz w:val="28"/>
          <w:szCs w:val="28"/>
        </w:rPr>
        <w:t xml:space="preserve"> In this case, the GL generated by </w:t>
      </w:r>
      <w:r w:rsidR="0003708F">
        <w:rPr>
          <w:sz w:val="28"/>
          <w:szCs w:val="28"/>
        </w:rPr>
        <w:t>30</w:t>
      </w:r>
      <w:r w:rsidRPr="00581C5B">
        <w:rPr>
          <w:sz w:val="28"/>
          <w:szCs w:val="28"/>
        </w:rPr>
        <w:t xml:space="preserve"> g of </w:t>
      </w:r>
      <w:r w:rsidR="0003708F">
        <w:rPr>
          <w:sz w:val="28"/>
          <w:szCs w:val="28"/>
        </w:rPr>
        <w:t>brown bread</w:t>
      </w:r>
      <w:r w:rsidRPr="00581C5B">
        <w:rPr>
          <w:sz w:val="28"/>
          <w:szCs w:val="28"/>
        </w:rPr>
        <w:t xml:space="preserve"> is shown to be equivalent to </w:t>
      </w:r>
      <w:r w:rsidR="0003708F">
        <w:rPr>
          <w:sz w:val="28"/>
          <w:szCs w:val="28"/>
        </w:rPr>
        <w:t>9</w:t>
      </w:r>
      <w:r w:rsidRPr="00581C5B">
        <w:rPr>
          <w:sz w:val="28"/>
          <w:szCs w:val="28"/>
        </w:rPr>
        <w:t xml:space="preserve"> g of pure glucose, important information, especially for someone with diabetes.</w:t>
      </w:r>
      <w:r w:rsidR="0050667F">
        <w:rPr>
          <w:sz w:val="28"/>
          <w:szCs w:val="28"/>
        </w:rPr>
        <w:t xml:space="preserve"> T</w:t>
      </w:r>
      <w:r w:rsidR="0003708F">
        <w:rPr>
          <w:sz w:val="28"/>
          <w:szCs w:val="28"/>
        </w:rPr>
        <w:t xml:space="preserve">his figure is then divided by the equivalent value of a 4g </w:t>
      </w:r>
      <w:r w:rsidR="0050667F">
        <w:rPr>
          <w:sz w:val="28"/>
          <w:szCs w:val="28"/>
        </w:rPr>
        <w:t xml:space="preserve">teaspoon of table </w:t>
      </w:r>
      <w:proofErr w:type="gramStart"/>
      <w:r w:rsidR="0050667F">
        <w:rPr>
          <w:sz w:val="28"/>
          <w:szCs w:val="28"/>
        </w:rPr>
        <w:t>sugar</w:t>
      </w:r>
      <w:r w:rsidR="0023614B">
        <w:rPr>
          <w:sz w:val="28"/>
          <w:szCs w:val="28"/>
        </w:rPr>
        <w:t>.</w:t>
      </w:r>
      <w:r w:rsidR="00AD0C83">
        <w:rPr>
          <w:sz w:val="28"/>
          <w:szCs w:val="28"/>
        </w:rPr>
        <w:t>(</w:t>
      </w:r>
      <w:proofErr w:type="gramEnd"/>
      <w:r w:rsidR="00AD0C83">
        <w:rPr>
          <w:sz w:val="28"/>
          <w:szCs w:val="28"/>
        </w:rPr>
        <w:t>sucrose)</w:t>
      </w:r>
      <w:r w:rsidR="0003708F">
        <w:rPr>
          <w:sz w:val="28"/>
          <w:szCs w:val="28"/>
        </w:rPr>
        <w:t xml:space="preserve"> </w:t>
      </w:r>
      <w:r w:rsidR="0023614B">
        <w:rPr>
          <w:sz w:val="28"/>
          <w:szCs w:val="28"/>
        </w:rPr>
        <w:t xml:space="preserve">to produce the teaspoon of </w:t>
      </w:r>
      <w:r w:rsidR="004E5EE5">
        <w:rPr>
          <w:sz w:val="28"/>
          <w:szCs w:val="28"/>
        </w:rPr>
        <w:t xml:space="preserve">table </w:t>
      </w:r>
      <w:r w:rsidR="0023614B">
        <w:rPr>
          <w:sz w:val="28"/>
          <w:szCs w:val="28"/>
        </w:rPr>
        <w:t>sugar equivalent</w:t>
      </w:r>
      <w:r w:rsidR="004E5EE5">
        <w:rPr>
          <w:sz w:val="28"/>
          <w:szCs w:val="28"/>
        </w:rPr>
        <w:t xml:space="preserve"> (in this case 3.3 teaspoons)</w:t>
      </w:r>
      <w:r w:rsidR="0023614B">
        <w:rPr>
          <w:sz w:val="28"/>
          <w:szCs w:val="28"/>
        </w:rPr>
        <w:t xml:space="preserve">. Arguably much easier for people to understand. </w:t>
      </w:r>
      <w:r w:rsidR="0023614B" w:rsidRPr="0023614B">
        <w:rPr>
          <w:sz w:val="28"/>
          <w:szCs w:val="28"/>
        </w:rPr>
        <w:t xml:space="preserve">These </w:t>
      </w:r>
      <w:r w:rsidR="0023614B">
        <w:rPr>
          <w:sz w:val="28"/>
          <w:szCs w:val="28"/>
        </w:rPr>
        <w:t xml:space="preserve">are the </w:t>
      </w:r>
      <w:r w:rsidR="0023614B" w:rsidRPr="0023614B">
        <w:rPr>
          <w:sz w:val="28"/>
          <w:szCs w:val="28"/>
        </w:rPr>
        <w:t xml:space="preserve">calculations </w:t>
      </w:r>
      <w:r w:rsidR="0023614B">
        <w:rPr>
          <w:sz w:val="28"/>
          <w:szCs w:val="28"/>
        </w:rPr>
        <w:t xml:space="preserve">which </w:t>
      </w:r>
      <w:r w:rsidR="0023614B" w:rsidRPr="0023614B">
        <w:rPr>
          <w:sz w:val="28"/>
          <w:szCs w:val="28"/>
        </w:rPr>
        <w:t xml:space="preserve">have led to </w:t>
      </w:r>
      <w:r w:rsidR="0023614B">
        <w:rPr>
          <w:sz w:val="28"/>
          <w:szCs w:val="28"/>
        </w:rPr>
        <w:t>my</w:t>
      </w:r>
      <w:r w:rsidR="0023614B" w:rsidRPr="0023614B">
        <w:rPr>
          <w:sz w:val="28"/>
          <w:szCs w:val="28"/>
        </w:rPr>
        <w:t xml:space="preserve"> series of patient-friendly infographics to help in dietary choices for people with Type 2 Diabetes. </w:t>
      </w:r>
      <w:r w:rsidR="0023614B">
        <w:rPr>
          <w:sz w:val="28"/>
          <w:szCs w:val="28"/>
        </w:rPr>
        <w:t xml:space="preserve"> </w:t>
      </w:r>
    </w:p>
    <w:p w14:paraId="20009060" w14:textId="1709ED9D" w:rsidR="00581C5B" w:rsidRDefault="00581C5B" w:rsidP="00581C5B">
      <w:pPr>
        <w:spacing w:after="80" w:line="259" w:lineRule="auto"/>
        <w:rPr>
          <w:sz w:val="28"/>
          <w:szCs w:val="28"/>
        </w:rPr>
      </w:pPr>
      <w:r w:rsidRPr="00581C5B">
        <w:rPr>
          <w:sz w:val="28"/>
          <w:szCs w:val="28"/>
        </w:rPr>
        <w:t xml:space="preserve"> The epidemiological work on incident T2D initiated by Salmeron et al.</w:t>
      </w:r>
      <w:r w:rsidR="00AA020A">
        <w:rPr>
          <w:sz w:val="28"/>
          <w:szCs w:val="28"/>
        </w:rPr>
        <w:fldChar w:fldCharType="begin"/>
      </w:r>
      <w:r w:rsidR="00BE311C">
        <w:rPr>
          <w:sz w:val="28"/>
          <w:szCs w:val="28"/>
        </w:rPr>
        <w:instrText xml:space="preserve"> ADDIN EN.CITE &lt;EndNote&gt;&lt;Cite&gt;&lt;Author&gt;Salmerón&lt;/Author&gt;&lt;Year&gt;1997&lt;/Year&gt;&lt;RecNum&gt;551&lt;/RecNum&gt;&lt;DisplayText&gt;(2)&lt;/DisplayText&gt;&lt;record&gt;&lt;rec-number&gt;551&lt;/rec-number&gt;&lt;foreign-keys&gt;&lt;key app="EN" db-id="v0zfff527t0azne0f5bpf50fe5rwdfdapxrd" timestamp="1618999112" guid="8426b863-c361-4586-8440-2cb1cbb8bdb4"&gt;551&lt;/key&gt;&lt;/foreign-keys&gt;&lt;ref-type name="Journal Article"&gt;17&lt;/ref-type&gt;&lt;contributors&gt;&lt;authors&gt;&lt;author&gt;Salmerón, Jorge&lt;/author&gt;&lt;author&gt;Ascherio, Alberto&lt;/author&gt;&lt;author&gt;Rimm, Eric B&lt;/author&gt;&lt;author&gt;Colditz, Graham A&lt;/author&gt;&lt;author&gt;Spiegelman, Donna&lt;/author&gt;&lt;author&gt;Jenkins, David J&lt;/author&gt;&lt;author&gt;Stampfer, Meir J&lt;/author&gt;&lt;author&gt;Wing, Alvin L&lt;/author&gt;&lt;author&gt;Willett, Walter C&lt;/author&gt;&lt;/authors&gt;&lt;/contributors&gt;&lt;titles&gt;&lt;title&gt;Dietary Fiber, Glycemic Load, and Risk of NIDDM in Men&lt;/title&gt;&lt;secondary-title&gt;Diabetes Care&lt;/secondary-title&gt;&lt;/titles&gt;&lt;periodical&gt;&lt;full-title&gt;Diabetes Care&lt;/full-title&gt;&lt;/periodical&gt;&lt;pages&gt;545-550&lt;/pages&gt;&lt;volume&gt;20&lt;/volume&gt;&lt;number&gt;4&lt;/number&gt;&lt;dates&gt;&lt;year&gt;1997&lt;/year&gt;&lt;/dates&gt;&lt;urls&gt;&lt;related-urls&gt;&lt;url&gt;https://care.diabetesjournals.org/content/diacare/20/4/545.full.pdf&lt;/url&gt;&lt;/related-urls&gt;&lt;/urls&gt;&lt;electronic-resource-num&gt;10.2337/diacare.20.4.545&lt;/electronic-resource-num&gt;&lt;/record&gt;&lt;/Cite&gt;&lt;/EndNote&gt;</w:instrText>
      </w:r>
      <w:r w:rsidR="00AA020A">
        <w:rPr>
          <w:sz w:val="28"/>
          <w:szCs w:val="28"/>
        </w:rPr>
        <w:fldChar w:fldCharType="separate"/>
      </w:r>
      <w:r w:rsidR="00AA020A">
        <w:rPr>
          <w:noProof/>
          <w:sz w:val="28"/>
          <w:szCs w:val="28"/>
        </w:rPr>
        <w:t>(2)</w:t>
      </w:r>
      <w:r w:rsidR="00AA020A">
        <w:rPr>
          <w:sz w:val="28"/>
          <w:szCs w:val="28"/>
        </w:rPr>
        <w:fldChar w:fldCharType="end"/>
      </w:r>
      <w:r w:rsidRPr="00581C5B">
        <w:rPr>
          <w:sz w:val="28"/>
          <w:szCs w:val="28"/>
        </w:rPr>
        <w:t xml:space="preserve"> has been expanded to 24 studies worldwide, for which meta-analyses reveal a strong dose-response T2D-GL relation</w:t>
      </w:r>
      <w:r w:rsidR="00AA020A">
        <w:rPr>
          <w:sz w:val="28"/>
          <w:szCs w:val="28"/>
        </w:rPr>
        <w:fldChar w:fldCharType="begin"/>
      </w:r>
      <w:r w:rsidR="00BE311C">
        <w:rPr>
          <w:sz w:val="28"/>
          <w:szCs w:val="28"/>
        </w:rPr>
        <w:instrText xml:space="preserve"> ADDIN EN.CITE &lt;EndNote&gt;&lt;Cite&gt;&lt;Author&gt;Livesey&lt;/Author&gt;&lt;Year&gt;2013&lt;/Year&gt;&lt;RecNum&gt;552&lt;/RecNum&gt;&lt;DisplayText&gt;(3)&lt;/DisplayText&gt;&lt;record&gt;&lt;rec-number&gt;552&lt;/rec-number&gt;&lt;foreign-keys&gt;&lt;key app="EN" db-id="v0zfff527t0azne0f5bpf50fe5rwdfdapxrd" timestamp="1618999305" guid="eaaabe5c-32d5-4323-bb4e-5d762706efb8"&gt;552&lt;/key&gt;&lt;/foreign-keys&gt;&lt;ref-type name="Journal Article"&gt;17&lt;/ref-type&gt;&lt;contributors&gt;&lt;authors&gt;&lt;author&gt;Livesey, Geoffrey&lt;/author&gt;&lt;author&gt;Taylor, Richard&lt;/author&gt;&lt;author&gt;Livesey, Helen&lt;/author&gt;&lt;author&gt;Liu, Simin&lt;/author&gt;&lt;/authors&gt;&lt;/contributors&gt;&lt;titles&gt;&lt;title&gt;Is there a dose-response relation of dietary glycemic load to risk of type 2 diabetes? Meta-analysis of prospective cohort studies&lt;/title&gt;&lt;secondary-title&gt;The American Journal of Clinical Nutrition&lt;/secondary-title&gt;&lt;/titles&gt;&lt;periodical&gt;&lt;full-title&gt;The American Journal of Clinical Nutrition&lt;/full-title&gt;&lt;/periodical&gt;&lt;pages&gt;584-596&lt;/pages&gt;&lt;volume&gt;97&lt;/volume&gt;&lt;number&gt;3&lt;/number&gt;&lt;dates&gt;&lt;year&gt;2013&lt;/year&gt;&lt;/dates&gt;&lt;isbn&gt;0002-9165&lt;/isbn&gt;&lt;urls&gt;&lt;related-urls&gt;&lt;url&gt;https://doi.org/10.3945/ajcn.112.041467&lt;/url&gt;&lt;/related-urls&gt;&lt;/urls&gt;&lt;electronic-resource-num&gt;10.3945/ajcn.112.041467&lt;/electronic-resource-num&gt;&lt;access-date&gt;4/21/2021&lt;/access-date&gt;&lt;/record&gt;&lt;/Cite&gt;&lt;/EndNote&gt;</w:instrText>
      </w:r>
      <w:r w:rsidR="00AA020A">
        <w:rPr>
          <w:sz w:val="28"/>
          <w:szCs w:val="28"/>
        </w:rPr>
        <w:fldChar w:fldCharType="separate"/>
      </w:r>
      <w:r w:rsidR="00AA020A">
        <w:rPr>
          <w:noProof/>
          <w:sz w:val="28"/>
          <w:szCs w:val="28"/>
        </w:rPr>
        <w:t>(3)</w:t>
      </w:r>
      <w:r w:rsidR="00AA020A">
        <w:rPr>
          <w:sz w:val="28"/>
          <w:szCs w:val="28"/>
        </w:rPr>
        <w:fldChar w:fldCharType="end"/>
      </w:r>
      <w:r w:rsidR="00AA020A" w:rsidRPr="00581C5B">
        <w:rPr>
          <w:sz w:val="28"/>
          <w:szCs w:val="28"/>
        </w:rPr>
        <w:t xml:space="preserve"> </w:t>
      </w:r>
      <w:r w:rsidRPr="00581C5B">
        <w:rPr>
          <w:sz w:val="28"/>
          <w:szCs w:val="28"/>
        </w:rPr>
        <w:t>implying with support of interventional studies</w:t>
      </w:r>
      <w:r w:rsidR="00BE311C">
        <w:rPr>
          <w:sz w:val="28"/>
          <w:szCs w:val="28"/>
        </w:rPr>
        <w:fldChar w:fldCharType="begin"/>
      </w:r>
      <w:r w:rsidR="00BE311C">
        <w:rPr>
          <w:sz w:val="28"/>
          <w:szCs w:val="28"/>
        </w:rPr>
        <w:instrText xml:space="preserve"> ADDIN EN.CITE &lt;EndNote&gt;&lt;Cite&gt;&lt;Author&gt;Augustin&lt;/Author&gt;&lt;Year&gt;2015&lt;/Year&gt;&lt;RecNum&gt;554&lt;/RecNum&gt;&lt;DisplayText&gt;(5)&lt;/DisplayText&gt;&lt;record&gt;&lt;rec-number&gt;554&lt;/rec-number&gt;&lt;foreign-keys&gt;&lt;key app="EN" db-id="v0zfff527t0azne0f5bpf50fe5rwdfdapxrd" timestamp="1618999789" guid="932eff3a-4835-4111-b5d3-0814368d6479"&gt;554&lt;/key&gt;&lt;/foreign-keys&gt;&lt;ref-type name="Journal Article"&gt;17&lt;/ref-type&gt;&lt;contributors&gt;&lt;authors&gt;&lt;author&gt;Augustin, L. S. A.&lt;/author&gt;&lt;author&gt;Kendall, C. W. C.&lt;/author&gt;&lt;author&gt;Jenkins, D. J. A.&lt;/author&gt;&lt;author&gt;Willett, W. C.&lt;/author&gt;&lt;author&gt;Astrup, A.&lt;/author&gt;&lt;author&gt;Barclay, A. W.&lt;/author&gt;&lt;author&gt;Björck, I.&lt;/author&gt;&lt;author&gt;Brand-Miller, J. C.&lt;/author&gt;&lt;author&gt;Brighenti, F.&lt;/author&gt;&lt;author&gt;Buyken, A. E.&lt;/author&gt;&lt;author&gt;Ceriello, A.&lt;/author&gt;&lt;author&gt;La Vecchia, C.&lt;/author&gt;&lt;author&gt;Livesey, G.&lt;/author&gt;&lt;author&gt;Liu, S.&lt;/author&gt;&lt;author&gt;Riccardi, G.&lt;/author&gt;&lt;author&gt;Rizkalla, S. W.&lt;/author&gt;&lt;author&gt;Sievenpiper, J. L.&lt;/author&gt;&lt;author&gt;Trichopoulou, A.&lt;/author&gt;&lt;author&gt;Wolever, T. M. S.&lt;/author&gt;&lt;author&gt;Baer-Sinnott, S.&lt;/author&gt;&lt;author&gt;Poli, A.&lt;/author&gt;&lt;/authors&gt;&lt;/contributors&gt;&lt;titles&gt;&lt;title&gt;Glycemic index, glycemic load and glycemic response: An International Scientific Consensus Summit from the International Carbohydrate Quality Consortium (ICQC)&lt;/title&gt;&lt;secondary-title&gt;Nutrition, Metabolism and Cardiovascular Diseases&lt;/secondary-title&gt;&lt;/titles&gt;&lt;periodical&gt;&lt;full-title&gt;Nutrition, Metabolism and Cardiovascular Diseases&lt;/full-title&gt;&lt;/periodical&gt;&lt;pages&gt;795-815&lt;/pages&gt;&lt;volume&gt;25&lt;/volume&gt;&lt;number&gt;9&lt;/number&gt;&lt;dates&gt;&lt;year&gt;2015&lt;/year&gt;&lt;/dates&gt;&lt;publisher&gt;Elsevier&lt;/publisher&gt;&lt;isbn&gt;0939-4753&lt;/isbn&gt;&lt;urls&gt;&lt;related-urls&gt;&lt;url&gt;https://doi.org/10.1016/j.numecd.2015.05.005&lt;/url&gt;&lt;/related-urls&gt;&lt;/urls&gt;&lt;electronic-resource-num&gt;10.1016/j.numecd.2015.05.005&lt;/electronic-resource-num&gt;&lt;access-date&gt;2021/04/21&lt;/access-date&gt;&lt;/record&gt;&lt;/Cite&gt;&lt;/EndNote&gt;</w:instrText>
      </w:r>
      <w:r w:rsidR="00BE311C">
        <w:rPr>
          <w:sz w:val="28"/>
          <w:szCs w:val="28"/>
        </w:rPr>
        <w:fldChar w:fldCharType="separate"/>
      </w:r>
      <w:r w:rsidR="00BE311C">
        <w:rPr>
          <w:noProof/>
          <w:sz w:val="28"/>
          <w:szCs w:val="28"/>
        </w:rPr>
        <w:t>(5)</w:t>
      </w:r>
      <w:r w:rsidR="00BE311C">
        <w:rPr>
          <w:sz w:val="28"/>
          <w:szCs w:val="28"/>
        </w:rPr>
        <w:fldChar w:fldCharType="end"/>
      </w:r>
      <w:r w:rsidR="00BE311C">
        <w:rPr>
          <w:sz w:val="28"/>
          <w:szCs w:val="28"/>
        </w:rPr>
        <w:t xml:space="preserve"> </w:t>
      </w:r>
      <w:r w:rsidRPr="00581C5B">
        <w:rPr>
          <w:sz w:val="28"/>
          <w:szCs w:val="28"/>
        </w:rPr>
        <w:t xml:space="preserve">that diets lower in GL can be preventative of T2D. </w:t>
      </w:r>
    </w:p>
    <w:p w14:paraId="50AF81C6" w14:textId="77777777" w:rsidR="0023614B" w:rsidRPr="00581C5B" w:rsidRDefault="0023614B" w:rsidP="00581C5B">
      <w:pPr>
        <w:spacing w:after="80" w:line="259" w:lineRule="auto"/>
        <w:rPr>
          <w:sz w:val="28"/>
          <w:szCs w:val="28"/>
        </w:rPr>
      </w:pPr>
    </w:p>
    <w:p w14:paraId="78126D08" w14:textId="77777777" w:rsidR="00581C5B" w:rsidRPr="00834E15" w:rsidRDefault="0003708F" w:rsidP="00432D42">
      <w:pPr>
        <w:rPr>
          <w:sz w:val="28"/>
          <w:szCs w:val="28"/>
        </w:rPr>
      </w:pPr>
      <w:r>
        <w:rPr>
          <w:noProof/>
          <w:sz w:val="28"/>
          <w:szCs w:val="28"/>
          <w:lang w:eastAsia="en-GB"/>
        </w:rPr>
        <w:lastRenderedPageBreak/>
        <w:drawing>
          <wp:inline distT="0" distB="0" distL="0" distR="0" wp14:anchorId="769A8716" wp14:editId="213D3FD2">
            <wp:extent cx="6219825" cy="45176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ycaemic load how its calculated.jpg"/>
                    <pic:cNvPicPr/>
                  </pic:nvPicPr>
                  <pic:blipFill>
                    <a:blip r:embed="rId5">
                      <a:extLst>
                        <a:ext uri="{28A0092B-C50C-407E-A947-70E740481C1C}">
                          <a14:useLocalDpi xmlns:a14="http://schemas.microsoft.com/office/drawing/2010/main" val="0"/>
                        </a:ext>
                      </a:extLst>
                    </a:blip>
                    <a:stretch>
                      <a:fillRect/>
                    </a:stretch>
                  </pic:blipFill>
                  <pic:spPr>
                    <a:xfrm>
                      <a:off x="0" y="0"/>
                      <a:ext cx="6253334" cy="4541992"/>
                    </a:xfrm>
                    <a:prstGeom prst="rect">
                      <a:avLst/>
                    </a:prstGeom>
                  </pic:spPr>
                </pic:pic>
              </a:graphicData>
            </a:graphic>
          </wp:inline>
        </w:drawing>
      </w:r>
    </w:p>
    <w:p w14:paraId="37C9E3AA" w14:textId="77777777" w:rsidR="00F76621" w:rsidRDefault="00F76621"/>
    <w:p w14:paraId="5DF532D7" w14:textId="19F0FAAB" w:rsidR="00F76621" w:rsidRPr="002C2153" w:rsidRDefault="006A30F8">
      <w:pPr>
        <w:rPr>
          <w:b/>
          <w:bCs/>
        </w:rPr>
      </w:pPr>
      <w:r w:rsidRPr="002C2153">
        <w:rPr>
          <w:b/>
          <w:bCs/>
        </w:rPr>
        <w:t>Refs.</w:t>
      </w:r>
    </w:p>
    <w:p w14:paraId="2EEA51FD" w14:textId="77777777" w:rsidR="00BE311C" w:rsidRPr="00BE311C" w:rsidRDefault="00F76621" w:rsidP="00BE311C">
      <w:pPr>
        <w:pStyle w:val="EndNoteBibliography"/>
        <w:spacing w:after="0"/>
      </w:pPr>
      <w:r>
        <w:fldChar w:fldCharType="begin"/>
      </w:r>
      <w:r>
        <w:instrText xml:space="preserve"> ADDIN EN.REFLIST </w:instrText>
      </w:r>
      <w:r>
        <w:fldChar w:fldCharType="separate"/>
      </w:r>
      <w:r w:rsidR="00BE311C" w:rsidRPr="00BE311C">
        <w:t>1.</w:t>
      </w:r>
      <w:r w:rsidR="00BE311C" w:rsidRPr="00BE311C">
        <w:tab/>
        <w:t>Salmerón J, Manson JE, Stampfer MJ, Colditz GA, Wing AL, Willett WC. Dietary Fiber, Glycemic Load, and Risk of Non—insulin-dependent Diabetes Mellitus in Women. JAMA. 1997;277(6):472-7.</w:t>
      </w:r>
    </w:p>
    <w:p w14:paraId="484E6544" w14:textId="77777777" w:rsidR="00BE311C" w:rsidRPr="00BE311C" w:rsidRDefault="00BE311C" w:rsidP="00BE311C">
      <w:pPr>
        <w:pStyle w:val="EndNoteBibliography"/>
        <w:spacing w:after="0"/>
      </w:pPr>
      <w:r w:rsidRPr="00BE311C">
        <w:t>2.</w:t>
      </w:r>
      <w:r w:rsidRPr="00BE311C">
        <w:tab/>
        <w:t>Salmerón J, Ascherio A, Rimm EB, Colditz GA, Spiegelman D, Jenkins DJ, et al. Dietary Fiber, Glycemic Load, and Risk of NIDDM in Men. Diabetes Care. 1997;20(4):545-50.</w:t>
      </w:r>
    </w:p>
    <w:p w14:paraId="71FCE621" w14:textId="77777777" w:rsidR="00BE311C" w:rsidRPr="00BE311C" w:rsidRDefault="00BE311C" w:rsidP="00BE311C">
      <w:pPr>
        <w:pStyle w:val="EndNoteBibliography"/>
        <w:spacing w:after="0"/>
      </w:pPr>
      <w:r w:rsidRPr="00BE311C">
        <w:t>3.</w:t>
      </w:r>
      <w:r w:rsidRPr="00BE311C">
        <w:tab/>
        <w:t>Livesey G, Taylor R, Livesey H, Liu S. Is there a dose-response relation of dietary glycemic load to risk of type 2 diabetes? Meta-analysis of prospective cohort studies. The American Journal of Clinical Nutrition. 2013;97(3):584-96.</w:t>
      </w:r>
    </w:p>
    <w:p w14:paraId="69F40A01" w14:textId="4339AF61" w:rsidR="00BE311C" w:rsidRPr="00BE311C" w:rsidRDefault="00BE311C" w:rsidP="00BE311C">
      <w:pPr>
        <w:pStyle w:val="EndNoteBibliography"/>
        <w:spacing w:after="0"/>
      </w:pPr>
      <w:r w:rsidRPr="00BE311C">
        <w:t>4.</w:t>
      </w:r>
      <w:r w:rsidRPr="00BE311C">
        <w:tab/>
        <w:t>David Unwin DH, Geoffrey Livesey,. It is the glycaemic response to, not the carbohydrate content of food that maters in diabetes and obesity: The glycaemic index revisited. Journal of Insulin Resistance. 2016;2016;1(1), a8.(</w:t>
      </w:r>
      <w:hyperlink r:id="rId6" w:history="1">
        <w:r w:rsidRPr="00BE311C">
          <w:rPr>
            <w:rStyle w:val="Hyperlink"/>
          </w:rPr>
          <w:t>https://insulinresistance.org/index.php/jir/article/view/8/11</w:t>
        </w:r>
      </w:hyperlink>
      <w:r w:rsidRPr="00BE311C">
        <w:t>).</w:t>
      </w:r>
    </w:p>
    <w:p w14:paraId="7D6CD04D" w14:textId="77777777" w:rsidR="00BE311C" w:rsidRPr="00BE311C" w:rsidRDefault="00BE311C" w:rsidP="00BE311C">
      <w:pPr>
        <w:pStyle w:val="EndNoteBibliography"/>
      </w:pPr>
      <w:r w:rsidRPr="00BE311C">
        <w:t>5.</w:t>
      </w:r>
      <w:r w:rsidRPr="00BE311C">
        <w:tab/>
        <w:t>Augustin LSA, Kendall CWC, Jenkins DJA, Willett WC, Astrup A, Barclay AW, et al. Glycemic index, glycemic load and glycemic response: An International Scientific Consensus Summit from the International Carbohydrate Quality Consortium (ICQC). Nutrition, Metabolism and Cardiovascular Diseases. 2015;25(9):795-815.</w:t>
      </w:r>
    </w:p>
    <w:p w14:paraId="26648B17" w14:textId="31329AE3" w:rsidR="00834E15" w:rsidRDefault="00F76621">
      <w:r>
        <w:fldChar w:fldCharType="end"/>
      </w:r>
    </w:p>
    <w:sectPr w:rsidR="00834E15" w:rsidSect="00834E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83273"/>
    <w:multiLevelType w:val="hybridMultilevel"/>
    <w:tmpl w:val="2A72B9B8"/>
    <w:lvl w:ilvl="0" w:tplc="7E781E78">
      <w:start w:val="1"/>
      <w:numFmt w:val="decimal"/>
      <w:lvlText w:val="%1)"/>
      <w:lvlJc w:val="left"/>
      <w:pPr>
        <w:ind w:left="785"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676B2D"/>
    <w:multiLevelType w:val="multilevel"/>
    <w:tmpl w:val="DB3C2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BF35F8"/>
    <w:multiLevelType w:val="multilevel"/>
    <w:tmpl w:val="2CCAB17C"/>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zfff527t0azne0f5bpf50fe5rwdfdapxrd&quot;&gt;My EndNote Library&lt;record-ids&gt;&lt;item&gt;242&lt;/item&gt;&lt;item&gt;549&lt;/item&gt;&lt;item&gt;551&lt;/item&gt;&lt;item&gt;552&lt;/item&gt;&lt;item&gt;554&lt;/item&gt;&lt;/record-ids&gt;&lt;/item&gt;&lt;/Libraries&gt;"/>
  </w:docVars>
  <w:rsids>
    <w:rsidRoot w:val="00432D42"/>
    <w:rsid w:val="0003708F"/>
    <w:rsid w:val="000A7191"/>
    <w:rsid w:val="000B26AA"/>
    <w:rsid w:val="000E1D5D"/>
    <w:rsid w:val="001D6130"/>
    <w:rsid w:val="00204D46"/>
    <w:rsid w:val="0023614B"/>
    <w:rsid w:val="002965C8"/>
    <w:rsid w:val="002C2153"/>
    <w:rsid w:val="003244F0"/>
    <w:rsid w:val="00432D42"/>
    <w:rsid w:val="00457831"/>
    <w:rsid w:val="004E5EE5"/>
    <w:rsid w:val="0050667F"/>
    <w:rsid w:val="00543F7F"/>
    <w:rsid w:val="00581C5B"/>
    <w:rsid w:val="00652AAD"/>
    <w:rsid w:val="006A30F8"/>
    <w:rsid w:val="006E30BA"/>
    <w:rsid w:val="00834E15"/>
    <w:rsid w:val="00871229"/>
    <w:rsid w:val="00A63A7E"/>
    <w:rsid w:val="00AA020A"/>
    <w:rsid w:val="00AD0C83"/>
    <w:rsid w:val="00B263C0"/>
    <w:rsid w:val="00BC1E55"/>
    <w:rsid w:val="00BE311C"/>
    <w:rsid w:val="00C83D17"/>
    <w:rsid w:val="00E24223"/>
    <w:rsid w:val="00F42494"/>
    <w:rsid w:val="00F57FF4"/>
    <w:rsid w:val="00F76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DBF1D"/>
  <w15:chartTrackingRefBased/>
  <w15:docId w15:val="{2F28BC47-D297-4927-9553-A2D3E7FB6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8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D42"/>
    <w:pPr>
      <w:spacing w:after="16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2D42"/>
    <w:pPr>
      <w:ind w:left="720"/>
      <w:contextualSpacing/>
    </w:pPr>
  </w:style>
  <w:style w:type="table" w:styleId="TableGrid">
    <w:name w:val="Table Grid"/>
    <w:basedOn w:val="TableNormal"/>
    <w:uiPriority w:val="39"/>
    <w:rsid w:val="00432D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F7662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76621"/>
    <w:rPr>
      <w:rFonts w:ascii="Calibri" w:hAnsi="Calibri" w:cs="Calibri"/>
      <w:noProof/>
      <w:lang w:val="en-US"/>
    </w:rPr>
  </w:style>
  <w:style w:type="paragraph" w:customStyle="1" w:styleId="EndNoteBibliography">
    <w:name w:val="EndNote Bibliography"/>
    <w:basedOn w:val="Normal"/>
    <w:link w:val="EndNoteBibliographyChar"/>
    <w:rsid w:val="00F76621"/>
    <w:rPr>
      <w:rFonts w:ascii="Calibri" w:hAnsi="Calibri" w:cs="Calibri"/>
      <w:noProof/>
      <w:lang w:val="en-US"/>
    </w:rPr>
  </w:style>
  <w:style w:type="character" w:customStyle="1" w:styleId="EndNoteBibliographyChar">
    <w:name w:val="EndNote Bibliography Char"/>
    <w:basedOn w:val="DefaultParagraphFont"/>
    <w:link w:val="EndNoteBibliography"/>
    <w:rsid w:val="00F76621"/>
    <w:rPr>
      <w:rFonts w:ascii="Calibri" w:hAnsi="Calibri" w:cs="Calibri"/>
      <w:noProof/>
      <w:lang w:val="en-US"/>
    </w:rPr>
  </w:style>
  <w:style w:type="character" w:styleId="Hyperlink">
    <w:name w:val="Hyperlink"/>
    <w:basedOn w:val="DefaultParagraphFont"/>
    <w:uiPriority w:val="99"/>
    <w:unhideWhenUsed/>
    <w:rsid w:val="00AA020A"/>
    <w:rPr>
      <w:color w:val="0563C1" w:themeColor="hyperlink"/>
      <w:u w:val="single"/>
    </w:rPr>
  </w:style>
  <w:style w:type="character" w:styleId="UnresolvedMention">
    <w:name w:val="Unresolved Mention"/>
    <w:basedOn w:val="DefaultParagraphFont"/>
    <w:uiPriority w:val="99"/>
    <w:semiHidden/>
    <w:unhideWhenUsed/>
    <w:rsid w:val="00AA0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nsulinresistance.org/index.php/jir/article/view/8/11"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3</Pages>
  <Words>1940</Words>
  <Characters>11063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Unwin</dc:creator>
  <cp:keywords/>
  <dc:description/>
  <cp:lastModifiedBy>jen Unwin</cp:lastModifiedBy>
  <cp:revision>5</cp:revision>
  <dcterms:created xsi:type="dcterms:W3CDTF">2019-03-04T10:01:00Z</dcterms:created>
  <dcterms:modified xsi:type="dcterms:W3CDTF">2021-04-21T10:31:00Z</dcterms:modified>
</cp:coreProperties>
</file>